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EC897" w14:textId="77777777" w:rsidR="00E1711D" w:rsidRDefault="00E1711D" w:rsidP="007C3214"/>
    <w:p w14:paraId="0A8E358E" w14:textId="21167A63" w:rsidR="007B69B3" w:rsidRDefault="00DF7667" w:rsidP="007B69B3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eastAsiaTheme="minorHAnsi" w:hAnsiTheme="minorHAnsi" w:cstheme="minorHAnsi"/>
          <w:noProof/>
          <w:color w:val="0F265C"/>
          <w:sz w:val="56"/>
          <w:szCs w:val="56"/>
          <w:lang w:eastAsia="en-US"/>
        </w:rPr>
        <w:drawing>
          <wp:inline distT="0" distB="0" distL="0" distR="0" wp14:anchorId="63FE0F02" wp14:editId="2492B298">
            <wp:extent cx="3383280" cy="3383280"/>
            <wp:effectExtent l="0" t="0" r="7620" b="7620"/>
            <wp:docPr id="902470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CFC71C" w14:textId="3E5F8969" w:rsidR="007B69B3" w:rsidRPr="007B69B3" w:rsidRDefault="006E579A" w:rsidP="007B69B3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North Sunderland Harbour </w:t>
      </w:r>
    </w:p>
    <w:p w14:paraId="1E166B2B" w14:textId="77777777" w:rsidR="007B69B3" w:rsidRPr="007B69B3" w:rsidRDefault="007B69B3" w:rsidP="007B69B3">
      <w:pPr>
        <w:tabs>
          <w:tab w:val="center" w:pos="4513"/>
          <w:tab w:val="right" w:pos="7920"/>
          <w:tab w:val="right" w:pos="9026"/>
        </w:tabs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</w:p>
    <w:p w14:paraId="5D1A1CF9" w14:textId="77777777" w:rsidR="007B69B3" w:rsidRPr="007B69B3" w:rsidRDefault="007B69B3" w:rsidP="007B69B3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Safety Management System </w:t>
      </w:r>
    </w:p>
    <w:p w14:paraId="4DD659D1" w14:textId="77777777" w:rsidR="007B69B3" w:rsidRPr="007B69B3" w:rsidRDefault="007B69B3" w:rsidP="007B69B3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</w:p>
    <w:p w14:paraId="42E3AB35" w14:textId="7150A12B" w:rsidR="005F166D" w:rsidRDefault="007B69B3" w:rsidP="00CF3962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Section </w:t>
      </w:r>
      <w:r w:rsidR="00EF4393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>1</w:t>
      </w:r>
      <w:r w:rsidR="00303010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>6</w:t>
      </w:r>
      <w:r w:rsidRPr="007B69B3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>–</w:t>
      </w:r>
      <w:r w:rsidRPr="007B69B3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 </w:t>
      </w:r>
      <w:r w:rsidR="0017553E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Governance and </w:t>
      </w:r>
      <w:r w:rsidR="00622309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Finance Policy </w:t>
      </w:r>
      <w:r w:rsidR="00620ED0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 </w:t>
      </w:r>
      <w:r w:rsidR="004E4218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 </w:t>
      </w:r>
      <w:r w:rsidR="005F166D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br w:type="page"/>
      </w:r>
    </w:p>
    <w:p w14:paraId="07B4C7C7" w14:textId="77777777" w:rsidR="00EF4393" w:rsidRPr="00EF4393" w:rsidRDefault="00EF4393" w:rsidP="00EF4393">
      <w:pPr>
        <w:pStyle w:val="Heading1"/>
        <w:rPr>
          <w:rFonts w:cs="Arial"/>
          <w:sz w:val="24"/>
          <w:szCs w:val="24"/>
        </w:rPr>
      </w:pPr>
    </w:p>
    <w:p w14:paraId="120818CC" w14:textId="341FA1B6" w:rsidR="00A60BBC" w:rsidRPr="00A60BBC" w:rsidRDefault="00A60BBC" w:rsidP="00A60BBC">
      <w:pPr>
        <w:pStyle w:val="Heading1"/>
      </w:pPr>
      <w:r w:rsidRPr="00A60BBC">
        <w:t xml:space="preserve">Purpose of this </w:t>
      </w:r>
      <w:r w:rsidR="002B7F0F">
        <w:t>P</w:t>
      </w:r>
      <w:r w:rsidRPr="00A60BBC">
        <w:t>olicy</w:t>
      </w:r>
    </w:p>
    <w:p w14:paraId="34F3727A" w14:textId="77777777" w:rsidR="002E4E53" w:rsidRDefault="002E4E53" w:rsidP="002E4E53">
      <w:pPr>
        <w:rPr>
          <w:rFonts w:ascii="Arial" w:hAnsi="Arial" w:cs="Arial"/>
          <w:sz w:val="24"/>
          <w:szCs w:val="24"/>
        </w:rPr>
      </w:pPr>
    </w:p>
    <w:p w14:paraId="380F47AE" w14:textId="77777777" w:rsidR="00622309" w:rsidRPr="00622309" w:rsidRDefault="00622309" w:rsidP="00303B2D">
      <w:pPr>
        <w:spacing w:line="360" w:lineRule="auto"/>
        <w:rPr>
          <w:rFonts w:ascii="Arial" w:hAnsi="Arial" w:cs="Arial"/>
          <w:sz w:val="24"/>
          <w:szCs w:val="24"/>
        </w:rPr>
      </w:pPr>
    </w:p>
    <w:p w14:paraId="4F9E4FA4" w14:textId="77777777" w:rsidR="00BD1150" w:rsidRPr="009B4B85" w:rsidRDefault="00727E6B" w:rsidP="00303B2D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9B4B85">
        <w:rPr>
          <w:rFonts w:ascii="Arial" w:hAnsi="Arial" w:cs="Arial"/>
          <w:sz w:val="24"/>
          <w:szCs w:val="24"/>
        </w:rPr>
        <w:t>This policy has been written to record the North</w:t>
      </w:r>
      <w:r w:rsidR="00622309" w:rsidRPr="009B4B85">
        <w:rPr>
          <w:rFonts w:ascii="Arial" w:hAnsi="Arial" w:cs="Arial"/>
          <w:sz w:val="24"/>
          <w:szCs w:val="24"/>
        </w:rPr>
        <w:t xml:space="preserve"> Sunderland Harbour Commissioners (NSHC) </w:t>
      </w:r>
      <w:r w:rsidR="008D0D42" w:rsidRPr="009B4B85">
        <w:rPr>
          <w:rFonts w:ascii="Arial" w:hAnsi="Arial" w:cs="Arial"/>
          <w:sz w:val="24"/>
          <w:szCs w:val="24"/>
        </w:rPr>
        <w:t xml:space="preserve">intentions </w:t>
      </w:r>
      <w:proofErr w:type="gramStart"/>
      <w:r w:rsidR="008D0D42" w:rsidRPr="009B4B85">
        <w:rPr>
          <w:rFonts w:ascii="Arial" w:hAnsi="Arial" w:cs="Arial"/>
          <w:sz w:val="24"/>
          <w:szCs w:val="24"/>
        </w:rPr>
        <w:t>with regard to</w:t>
      </w:r>
      <w:proofErr w:type="gramEnd"/>
      <w:r w:rsidR="008D0D42" w:rsidRPr="009B4B85">
        <w:rPr>
          <w:rFonts w:ascii="Arial" w:hAnsi="Arial" w:cs="Arial"/>
          <w:sz w:val="24"/>
          <w:szCs w:val="24"/>
        </w:rPr>
        <w:t xml:space="preserve"> </w:t>
      </w:r>
      <w:r w:rsidR="00622309" w:rsidRPr="009B4B85">
        <w:rPr>
          <w:rFonts w:ascii="Arial" w:hAnsi="Arial" w:cs="Arial"/>
          <w:sz w:val="24"/>
          <w:szCs w:val="24"/>
        </w:rPr>
        <w:t>financial affairs</w:t>
      </w:r>
      <w:r w:rsidR="008D0D42" w:rsidRPr="009B4B85">
        <w:rPr>
          <w:rFonts w:ascii="Arial" w:hAnsi="Arial" w:cs="Arial"/>
          <w:sz w:val="24"/>
          <w:szCs w:val="24"/>
        </w:rPr>
        <w:t xml:space="preserve"> and governance.</w:t>
      </w:r>
    </w:p>
    <w:p w14:paraId="5BB32CD5" w14:textId="77777777" w:rsidR="00BD1150" w:rsidRDefault="00BD1150" w:rsidP="00303B2D">
      <w:pPr>
        <w:spacing w:line="360" w:lineRule="auto"/>
        <w:rPr>
          <w:rFonts w:ascii="Arial" w:hAnsi="Arial" w:cs="Arial"/>
          <w:sz w:val="24"/>
          <w:szCs w:val="24"/>
        </w:rPr>
      </w:pPr>
    </w:p>
    <w:p w14:paraId="5A93464B" w14:textId="6AFD4750" w:rsidR="00622309" w:rsidRPr="009B4B85" w:rsidRDefault="00BD1150" w:rsidP="00303B2D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9B4B85">
        <w:rPr>
          <w:rFonts w:ascii="Arial" w:hAnsi="Arial" w:cs="Arial"/>
          <w:sz w:val="24"/>
          <w:szCs w:val="24"/>
        </w:rPr>
        <w:t xml:space="preserve">The </w:t>
      </w:r>
      <w:r w:rsidR="00622309" w:rsidRPr="009B4B85">
        <w:rPr>
          <w:rFonts w:ascii="Arial" w:hAnsi="Arial" w:cs="Arial"/>
          <w:sz w:val="24"/>
          <w:szCs w:val="24"/>
        </w:rPr>
        <w:t xml:space="preserve">aim of </w:t>
      </w:r>
      <w:r w:rsidRPr="009B4B85">
        <w:rPr>
          <w:rFonts w:ascii="Arial" w:hAnsi="Arial" w:cs="Arial"/>
          <w:sz w:val="24"/>
          <w:szCs w:val="24"/>
        </w:rPr>
        <w:t xml:space="preserve">NSHC is to run a port such that it </w:t>
      </w:r>
      <w:r w:rsidR="00622309" w:rsidRPr="009B4B85">
        <w:rPr>
          <w:rFonts w:ascii="Arial" w:hAnsi="Arial" w:cs="Arial"/>
          <w:sz w:val="24"/>
          <w:szCs w:val="24"/>
        </w:rPr>
        <w:t>generat</w:t>
      </w:r>
      <w:r w:rsidRPr="009B4B85">
        <w:rPr>
          <w:rFonts w:ascii="Arial" w:hAnsi="Arial" w:cs="Arial"/>
          <w:sz w:val="24"/>
          <w:szCs w:val="24"/>
        </w:rPr>
        <w:t>es</w:t>
      </w:r>
      <w:r w:rsidR="00622309" w:rsidRPr="009B4B85">
        <w:rPr>
          <w:rFonts w:ascii="Arial" w:hAnsi="Arial" w:cs="Arial"/>
          <w:sz w:val="24"/>
          <w:szCs w:val="24"/>
        </w:rPr>
        <w:t xml:space="preserve"> sufficient funds, primarily from Harbour Dues, to allow their </w:t>
      </w:r>
      <w:r w:rsidRPr="009B4B85">
        <w:rPr>
          <w:rFonts w:ascii="Arial" w:hAnsi="Arial" w:cs="Arial"/>
          <w:sz w:val="24"/>
          <w:szCs w:val="24"/>
        </w:rPr>
        <w:t xml:space="preserve">statutory and </w:t>
      </w:r>
      <w:r w:rsidR="00622309" w:rsidRPr="009B4B85">
        <w:rPr>
          <w:rFonts w:ascii="Arial" w:hAnsi="Arial" w:cs="Arial"/>
          <w:sz w:val="24"/>
          <w:szCs w:val="24"/>
        </w:rPr>
        <w:t xml:space="preserve">legal duties to be undertaken in an efficient, </w:t>
      </w:r>
      <w:proofErr w:type="gramStart"/>
      <w:r w:rsidR="00622309" w:rsidRPr="009B4B85">
        <w:rPr>
          <w:rFonts w:ascii="Arial" w:hAnsi="Arial" w:cs="Arial"/>
          <w:sz w:val="24"/>
          <w:szCs w:val="24"/>
        </w:rPr>
        <w:t>effective</w:t>
      </w:r>
      <w:proofErr w:type="gramEnd"/>
      <w:r w:rsidR="00622309" w:rsidRPr="009B4B85">
        <w:rPr>
          <w:rFonts w:ascii="Arial" w:hAnsi="Arial" w:cs="Arial"/>
          <w:sz w:val="24"/>
          <w:szCs w:val="24"/>
        </w:rPr>
        <w:t xml:space="preserve"> and economic manner. </w:t>
      </w:r>
    </w:p>
    <w:p w14:paraId="333BD0F9" w14:textId="77777777" w:rsidR="0033699F" w:rsidRDefault="0033699F" w:rsidP="00303B2D">
      <w:pPr>
        <w:spacing w:line="360" w:lineRule="auto"/>
        <w:rPr>
          <w:rFonts w:ascii="Arial" w:hAnsi="Arial" w:cs="Arial"/>
          <w:sz w:val="24"/>
          <w:szCs w:val="24"/>
        </w:rPr>
      </w:pPr>
    </w:p>
    <w:p w14:paraId="003F10DB" w14:textId="680D5717" w:rsidR="0033699F" w:rsidRPr="009B4B85" w:rsidRDefault="0033699F" w:rsidP="00303B2D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9B4B85">
        <w:rPr>
          <w:rFonts w:ascii="Arial" w:hAnsi="Arial" w:cs="Arial"/>
          <w:sz w:val="24"/>
          <w:szCs w:val="24"/>
        </w:rPr>
        <w:t xml:space="preserve">The </w:t>
      </w:r>
      <w:r w:rsidR="007F6856" w:rsidRPr="009B4B85">
        <w:rPr>
          <w:rFonts w:ascii="Arial" w:hAnsi="Arial" w:cs="Arial"/>
          <w:sz w:val="24"/>
          <w:szCs w:val="24"/>
        </w:rPr>
        <w:t>central guiding documents to achieve this are the Port Marine Safety Code</w:t>
      </w:r>
      <w:r w:rsidR="00062AB3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7F6856" w:rsidRPr="009B4B85">
        <w:rPr>
          <w:rFonts w:ascii="Arial" w:hAnsi="Arial" w:cs="Arial"/>
          <w:sz w:val="24"/>
          <w:szCs w:val="24"/>
        </w:rPr>
        <w:t xml:space="preserve"> and the Ports Good Governance Guide</w:t>
      </w:r>
      <w:r w:rsidR="00062AB3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="007F6856" w:rsidRPr="009B4B85">
        <w:rPr>
          <w:rFonts w:ascii="Arial" w:hAnsi="Arial" w:cs="Arial"/>
          <w:sz w:val="24"/>
          <w:szCs w:val="24"/>
        </w:rPr>
        <w:t>.</w:t>
      </w:r>
    </w:p>
    <w:p w14:paraId="3D92F49B" w14:textId="77777777" w:rsidR="006326F6" w:rsidRDefault="006326F6" w:rsidP="00303B2D">
      <w:pPr>
        <w:pStyle w:val="Heading1"/>
        <w:spacing w:line="360" w:lineRule="auto"/>
      </w:pPr>
      <w:r>
        <w:t xml:space="preserve">Setting Harbour Dues </w:t>
      </w:r>
    </w:p>
    <w:p w14:paraId="5DA12A5F" w14:textId="77777777" w:rsidR="00105B94" w:rsidRPr="00105B94" w:rsidRDefault="00105B94" w:rsidP="00303B2D">
      <w:pPr>
        <w:spacing w:line="360" w:lineRule="auto"/>
      </w:pPr>
    </w:p>
    <w:p w14:paraId="35A172CA" w14:textId="6E0A42D1" w:rsidR="009B4B85" w:rsidRDefault="00622309" w:rsidP="00303B2D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9B4B85">
        <w:rPr>
          <w:rFonts w:ascii="Arial" w:hAnsi="Arial" w:cs="Arial"/>
          <w:sz w:val="24"/>
          <w:szCs w:val="24"/>
        </w:rPr>
        <w:t xml:space="preserve">The level of Harbour Dues </w:t>
      </w:r>
      <w:r w:rsidR="009A2A3F" w:rsidRPr="009B4B85">
        <w:rPr>
          <w:rFonts w:ascii="Arial" w:hAnsi="Arial" w:cs="Arial"/>
          <w:sz w:val="24"/>
          <w:szCs w:val="24"/>
        </w:rPr>
        <w:t xml:space="preserve">in NSH is </w:t>
      </w:r>
      <w:r w:rsidRPr="009B4B85">
        <w:rPr>
          <w:rFonts w:ascii="Arial" w:hAnsi="Arial" w:cs="Arial"/>
          <w:sz w:val="24"/>
          <w:szCs w:val="24"/>
        </w:rPr>
        <w:t xml:space="preserve">kept under </w:t>
      </w:r>
      <w:r w:rsidR="009A2A3F" w:rsidRPr="009B4B85">
        <w:rPr>
          <w:rFonts w:ascii="Arial" w:hAnsi="Arial" w:cs="Arial"/>
          <w:sz w:val="24"/>
          <w:szCs w:val="24"/>
        </w:rPr>
        <w:t xml:space="preserve">periodic </w:t>
      </w:r>
      <w:r w:rsidR="00CE1746">
        <w:rPr>
          <w:rFonts w:ascii="Arial" w:hAnsi="Arial" w:cs="Arial"/>
          <w:sz w:val="24"/>
          <w:szCs w:val="24"/>
        </w:rPr>
        <w:t>scrutiny a</w:t>
      </w:r>
      <w:r w:rsidR="009A2A3F" w:rsidRPr="009B4B85">
        <w:rPr>
          <w:rFonts w:ascii="Arial" w:hAnsi="Arial" w:cs="Arial"/>
          <w:sz w:val="24"/>
          <w:szCs w:val="24"/>
        </w:rPr>
        <w:t xml:space="preserve">nd formally </w:t>
      </w:r>
      <w:r w:rsidR="00CE1746">
        <w:rPr>
          <w:rFonts w:ascii="Arial" w:hAnsi="Arial" w:cs="Arial"/>
          <w:sz w:val="24"/>
          <w:szCs w:val="24"/>
        </w:rPr>
        <w:t xml:space="preserve">reviewed </w:t>
      </w:r>
      <w:r w:rsidR="009A2A3F" w:rsidRPr="009B4B85">
        <w:rPr>
          <w:rFonts w:ascii="Arial" w:hAnsi="Arial" w:cs="Arial"/>
          <w:sz w:val="24"/>
          <w:szCs w:val="24"/>
        </w:rPr>
        <w:t xml:space="preserve">in detail </w:t>
      </w:r>
      <w:r w:rsidRPr="009B4B85">
        <w:rPr>
          <w:rFonts w:ascii="Arial" w:hAnsi="Arial" w:cs="Arial"/>
          <w:sz w:val="24"/>
          <w:szCs w:val="24"/>
        </w:rPr>
        <w:t xml:space="preserve">at </w:t>
      </w:r>
      <w:r w:rsidR="00CE1746">
        <w:rPr>
          <w:rFonts w:ascii="Arial" w:hAnsi="Arial" w:cs="Arial"/>
          <w:sz w:val="24"/>
          <w:szCs w:val="24"/>
        </w:rPr>
        <w:t xml:space="preserve">each </w:t>
      </w:r>
      <w:r w:rsidRPr="009B4B85">
        <w:rPr>
          <w:rFonts w:ascii="Arial" w:hAnsi="Arial" w:cs="Arial"/>
          <w:sz w:val="24"/>
          <w:szCs w:val="24"/>
        </w:rPr>
        <w:t xml:space="preserve">January Commissioners meeting. </w:t>
      </w:r>
    </w:p>
    <w:p w14:paraId="12AB950E" w14:textId="77777777" w:rsidR="00577D40" w:rsidRDefault="00577D40" w:rsidP="00577D40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18A4FDB4" w14:textId="6A58F5A6" w:rsidR="001F3A76" w:rsidRDefault="00CE1746" w:rsidP="00303B2D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advance of th</w:t>
      </w:r>
      <w:r w:rsidR="006E01BD">
        <w:rPr>
          <w:rFonts w:ascii="Arial" w:hAnsi="Arial" w:cs="Arial"/>
          <w:sz w:val="24"/>
          <w:szCs w:val="24"/>
        </w:rPr>
        <w:t xml:space="preserve">e January </w:t>
      </w:r>
      <w:r>
        <w:rPr>
          <w:rFonts w:ascii="Arial" w:hAnsi="Arial" w:cs="Arial"/>
          <w:sz w:val="24"/>
          <w:szCs w:val="24"/>
        </w:rPr>
        <w:t xml:space="preserve">meeting, </w:t>
      </w:r>
      <w:r w:rsidR="009B4B85">
        <w:rPr>
          <w:rFonts w:ascii="Arial" w:hAnsi="Arial" w:cs="Arial"/>
          <w:sz w:val="24"/>
          <w:szCs w:val="24"/>
        </w:rPr>
        <w:t xml:space="preserve">NSHC will </w:t>
      </w:r>
      <w:r w:rsidR="00E336CF">
        <w:rPr>
          <w:rFonts w:ascii="Arial" w:hAnsi="Arial" w:cs="Arial"/>
          <w:sz w:val="24"/>
          <w:szCs w:val="24"/>
        </w:rPr>
        <w:t xml:space="preserve">listen to the opinions of harbour </w:t>
      </w:r>
      <w:r w:rsidR="009B4B85">
        <w:rPr>
          <w:rFonts w:ascii="Arial" w:hAnsi="Arial" w:cs="Arial"/>
          <w:sz w:val="24"/>
          <w:szCs w:val="24"/>
        </w:rPr>
        <w:t xml:space="preserve">stakeholders </w:t>
      </w:r>
      <w:r w:rsidR="00E336CF">
        <w:rPr>
          <w:rFonts w:ascii="Arial" w:hAnsi="Arial" w:cs="Arial"/>
          <w:sz w:val="24"/>
          <w:szCs w:val="24"/>
        </w:rPr>
        <w:t>regarding the level of dues</w:t>
      </w:r>
      <w:r w:rsidR="006D76CF">
        <w:rPr>
          <w:rFonts w:ascii="Arial" w:hAnsi="Arial" w:cs="Arial"/>
          <w:sz w:val="24"/>
          <w:szCs w:val="24"/>
        </w:rPr>
        <w:t>,</w:t>
      </w:r>
      <w:r w:rsidR="00E336CF">
        <w:rPr>
          <w:rFonts w:ascii="Arial" w:hAnsi="Arial" w:cs="Arial"/>
          <w:sz w:val="24"/>
          <w:szCs w:val="24"/>
        </w:rPr>
        <w:t xml:space="preserve"> </w:t>
      </w:r>
      <w:r w:rsidR="009B4B85">
        <w:rPr>
          <w:rFonts w:ascii="Arial" w:hAnsi="Arial" w:cs="Arial"/>
          <w:sz w:val="24"/>
          <w:szCs w:val="24"/>
        </w:rPr>
        <w:t xml:space="preserve">using the </w:t>
      </w:r>
      <w:r w:rsidR="006D76CF">
        <w:rPr>
          <w:rFonts w:ascii="Arial" w:hAnsi="Arial" w:cs="Arial"/>
          <w:sz w:val="24"/>
          <w:szCs w:val="24"/>
        </w:rPr>
        <w:t xml:space="preserve">Autumn </w:t>
      </w:r>
      <w:r w:rsidR="009B4B85">
        <w:rPr>
          <w:rFonts w:ascii="Arial" w:hAnsi="Arial" w:cs="Arial"/>
          <w:sz w:val="24"/>
          <w:szCs w:val="24"/>
        </w:rPr>
        <w:t>Harbour Users Group (HUG)</w:t>
      </w:r>
      <w:r w:rsidR="006D76CF">
        <w:rPr>
          <w:rFonts w:ascii="Arial" w:hAnsi="Arial" w:cs="Arial"/>
          <w:sz w:val="24"/>
          <w:szCs w:val="24"/>
        </w:rPr>
        <w:t xml:space="preserve"> meetings</w:t>
      </w:r>
      <w:r w:rsidR="001F3A76">
        <w:rPr>
          <w:rFonts w:ascii="Arial" w:hAnsi="Arial" w:cs="Arial"/>
          <w:sz w:val="24"/>
          <w:szCs w:val="24"/>
        </w:rPr>
        <w:t xml:space="preserve">. </w:t>
      </w:r>
      <w:r w:rsidR="00E336CF">
        <w:rPr>
          <w:rFonts w:ascii="Arial" w:hAnsi="Arial" w:cs="Arial"/>
          <w:sz w:val="24"/>
          <w:szCs w:val="24"/>
        </w:rPr>
        <w:t xml:space="preserve">The recommendations of the HUG are advisory only. </w:t>
      </w:r>
    </w:p>
    <w:p w14:paraId="210AEFEE" w14:textId="77777777" w:rsidR="00577D40" w:rsidRDefault="00577D40" w:rsidP="00577D40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53145358" w14:textId="6B0C188E" w:rsidR="009130B9" w:rsidRDefault="00622309" w:rsidP="00303B2D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9B4B85">
        <w:rPr>
          <w:rFonts w:ascii="Arial" w:hAnsi="Arial" w:cs="Arial"/>
          <w:sz w:val="24"/>
          <w:szCs w:val="24"/>
        </w:rPr>
        <w:t>Where an amendment to Harbour Dues is required</w:t>
      </w:r>
      <w:r w:rsidR="00C93938">
        <w:rPr>
          <w:rFonts w:ascii="Arial" w:hAnsi="Arial" w:cs="Arial"/>
          <w:sz w:val="24"/>
          <w:szCs w:val="24"/>
        </w:rPr>
        <w:t>,</w:t>
      </w:r>
      <w:r w:rsidRPr="009B4B85">
        <w:rPr>
          <w:rFonts w:ascii="Arial" w:hAnsi="Arial" w:cs="Arial"/>
          <w:sz w:val="24"/>
          <w:szCs w:val="24"/>
        </w:rPr>
        <w:t xml:space="preserve"> all stakeholders and other interested parties will be informed as soon as possible</w:t>
      </w:r>
      <w:r w:rsidR="009130B9">
        <w:rPr>
          <w:rFonts w:ascii="Arial" w:hAnsi="Arial" w:cs="Arial"/>
          <w:sz w:val="24"/>
          <w:szCs w:val="24"/>
        </w:rPr>
        <w:t>.</w:t>
      </w:r>
    </w:p>
    <w:p w14:paraId="7EF254D9" w14:textId="77777777" w:rsidR="00577D40" w:rsidRDefault="00577D40" w:rsidP="00577D40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39015AA9" w14:textId="6ECD20A6" w:rsidR="00A00B76" w:rsidRDefault="00A00B76" w:rsidP="00303B2D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harbour dues will be posted on the NSHC website and </w:t>
      </w:r>
      <w:r w:rsidR="00C9393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the port notice board. </w:t>
      </w:r>
    </w:p>
    <w:p w14:paraId="7AA66692" w14:textId="77777777" w:rsidR="00577D40" w:rsidRDefault="00577D40" w:rsidP="00577D40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DE11AF5" w14:textId="31ADFBEC" w:rsidR="009130B9" w:rsidRDefault="009130B9" w:rsidP="00303B2D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622309" w:rsidRPr="009130B9">
        <w:rPr>
          <w:rFonts w:ascii="Arial" w:hAnsi="Arial" w:cs="Arial"/>
          <w:sz w:val="24"/>
          <w:szCs w:val="24"/>
        </w:rPr>
        <w:t>setting Harbour Dues</w:t>
      </w:r>
      <w:r>
        <w:rPr>
          <w:rFonts w:ascii="Arial" w:hAnsi="Arial" w:cs="Arial"/>
          <w:sz w:val="24"/>
          <w:szCs w:val="24"/>
        </w:rPr>
        <w:t>,</w:t>
      </w:r>
      <w:r w:rsidR="00622309" w:rsidRPr="009130B9">
        <w:rPr>
          <w:rFonts w:ascii="Arial" w:hAnsi="Arial" w:cs="Arial"/>
          <w:sz w:val="24"/>
          <w:szCs w:val="24"/>
        </w:rPr>
        <w:t xml:space="preserve"> NSHC will have due regard to, inter alia:</w:t>
      </w:r>
    </w:p>
    <w:p w14:paraId="1BA5A985" w14:textId="77777777" w:rsidR="009130B9" w:rsidRDefault="00622309" w:rsidP="00303B2D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9130B9">
        <w:rPr>
          <w:rFonts w:ascii="Arial" w:hAnsi="Arial" w:cs="Arial"/>
          <w:sz w:val="24"/>
          <w:szCs w:val="24"/>
        </w:rPr>
        <w:t xml:space="preserve">The predicted level of commercial fishing and passenger tripping vessel activity </w:t>
      </w:r>
      <w:r w:rsidR="009130B9">
        <w:rPr>
          <w:rFonts w:ascii="Arial" w:hAnsi="Arial" w:cs="Arial"/>
          <w:sz w:val="24"/>
          <w:szCs w:val="24"/>
        </w:rPr>
        <w:t xml:space="preserve">in the </w:t>
      </w:r>
      <w:r w:rsidRPr="009130B9">
        <w:rPr>
          <w:rFonts w:ascii="Arial" w:hAnsi="Arial" w:cs="Arial"/>
          <w:sz w:val="24"/>
          <w:szCs w:val="24"/>
        </w:rPr>
        <w:t>Port.</w:t>
      </w:r>
    </w:p>
    <w:p w14:paraId="70CAFFE9" w14:textId="77777777" w:rsidR="0012368F" w:rsidRDefault="009130B9" w:rsidP="00303B2D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2368F">
        <w:rPr>
          <w:rFonts w:ascii="Arial" w:hAnsi="Arial" w:cs="Arial"/>
          <w:sz w:val="24"/>
          <w:szCs w:val="24"/>
        </w:rPr>
        <w:t>l</w:t>
      </w:r>
      <w:r w:rsidR="00622309" w:rsidRPr="009130B9">
        <w:rPr>
          <w:rFonts w:ascii="Arial" w:hAnsi="Arial" w:cs="Arial"/>
          <w:sz w:val="24"/>
          <w:szCs w:val="24"/>
        </w:rPr>
        <w:t>evel of any other income</w:t>
      </w:r>
      <w:r w:rsidR="0012368F">
        <w:rPr>
          <w:rFonts w:ascii="Arial" w:hAnsi="Arial" w:cs="Arial"/>
          <w:sz w:val="24"/>
          <w:szCs w:val="24"/>
        </w:rPr>
        <w:t xml:space="preserve"> sources </w:t>
      </w:r>
      <w:r w:rsidR="00622309" w:rsidRPr="009130B9">
        <w:rPr>
          <w:rFonts w:ascii="Arial" w:hAnsi="Arial" w:cs="Arial"/>
          <w:sz w:val="24"/>
          <w:szCs w:val="24"/>
        </w:rPr>
        <w:t>to be received.</w:t>
      </w:r>
    </w:p>
    <w:p w14:paraId="77460109" w14:textId="082E53F6" w:rsidR="0012368F" w:rsidRDefault="0012368F" w:rsidP="00303B2D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 operating costs</w:t>
      </w:r>
      <w:r w:rsidR="00622309" w:rsidRPr="0012368F">
        <w:rPr>
          <w:rFonts w:ascii="Arial" w:hAnsi="Arial" w:cs="Arial"/>
          <w:sz w:val="24"/>
          <w:szCs w:val="24"/>
        </w:rPr>
        <w:t>.</w:t>
      </w:r>
    </w:p>
    <w:p w14:paraId="0CA82774" w14:textId="75F10024" w:rsidR="00622309" w:rsidRPr="0012368F" w:rsidRDefault="008120F1" w:rsidP="00303B2D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capital projects </w:t>
      </w:r>
      <w:r w:rsidR="00622309" w:rsidRPr="0012368F">
        <w:rPr>
          <w:rFonts w:ascii="Arial" w:hAnsi="Arial" w:cs="Arial"/>
          <w:sz w:val="24"/>
          <w:szCs w:val="24"/>
        </w:rPr>
        <w:t>e.g. costs relating to dredging, harbour works</w:t>
      </w:r>
      <w:r w:rsidR="00EB71A8">
        <w:rPr>
          <w:rFonts w:ascii="Arial" w:hAnsi="Arial" w:cs="Arial"/>
          <w:sz w:val="24"/>
          <w:szCs w:val="24"/>
        </w:rPr>
        <w:t>,</w:t>
      </w:r>
      <w:r w:rsidR="00622309" w:rsidRPr="0012368F">
        <w:rPr>
          <w:rFonts w:ascii="Arial" w:hAnsi="Arial" w:cs="Arial"/>
          <w:sz w:val="24"/>
          <w:szCs w:val="24"/>
        </w:rPr>
        <w:t xml:space="preserve"> repairs</w:t>
      </w:r>
      <w:r w:rsidR="00EB71A8">
        <w:rPr>
          <w:rFonts w:ascii="Arial" w:hAnsi="Arial" w:cs="Arial"/>
          <w:sz w:val="24"/>
          <w:szCs w:val="24"/>
        </w:rPr>
        <w:t xml:space="preserve"> or improvement</w:t>
      </w:r>
      <w:r w:rsidR="00622309" w:rsidRPr="0012368F">
        <w:rPr>
          <w:rFonts w:ascii="Arial" w:hAnsi="Arial" w:cs="Arial"/>
          <w:sz w:val="24"/>
          <w:szCs w:val="24"/>
        </w:rPr>
        <w:t>.</w:t>
      </w:r>
    </w:p>
    <w:p w14:paraId="238A6FB3" w14:textId="77777777" w:rsidR="008120F1" w:rsidRDefault="008120F1" w:rsidP="00303B2D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939E302" w14:textId="2FBF3F2E" w:rsidR="003209A8" w:rsidRDefault="003209A8" w:rsidP="00303B2D">
      <w:pPr>
        <w:pStyle w:val="Heading1"/>
        <w:spacing w:line="360" w:lineRule="auto"/>
      </w:pPr>
      <w:r>
        <w:t xml:space="preserve">Daily </w:t>
      </w:r>
      <w:r w:rsidR="00A70CE3">
        <w:t xml:space="preserve">&amp; Routine </w:t>
      </w:r>
      <w:r>
        <w:t xml:space="preserve">Financial Management </w:t>
      </w:r>
    </w:p>
    <w:p w14:paraId="5A4D6925" w14:textId="77777777" w:rsidR="003209A8" w:rsidRPr="003209A8" w:rsidRDefault="003209A8" w:rsidP="00303B2D">
      <w:pPr>
        <w:spacing w:line="360" w:lineRule="auto"/>
      </w:pPr>
    </w:p>
    <w:p w14:paraId="16A9E1FD" w14:textId="583A8025" w:rsidR="00C018CA" w:rsidRDefault="003209A8" w:rsidP="00303B2D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C018CA">
        <w:rPr>
          <w:rFonts w:ascii="Arial" w:hAnsi="Arial" w:cs="Arial"/>
          <w:sz w:val="24"/>
          <w:szCs w:val="24"/>
        </w:rPr>
        <w:t>The Clerk to the Commissioner</w:t>
      </w:r>
      <w:r w:rsidR="00C018CA">
        <w:rPr>
          <w:rFonts w:ascii="Arial" w:hAnsi="Arial" w:cs="Arial"/>
          <w:sz w:val="24"/>
          <w:szCs w:val="24"/>
        </w:rPr>
        <w:t>s</w:t>
      </w:r>
      <w:r w:rsidRPr="00C018CA">
        <w:rPr>
          <w:rFonts w:ascii="Arial" w:hAnsi="Arial" w:cs="Arial"/>
          <w:sz w:val="24"/>
          <w:szCs w:val="24"/>
        </w:rPr>
        <w:t xml:space="preserve"> is authorised to make </w:t>
      </w:r>
      <w:r w:rsidR="00C018CA">
        <w:rPr>
          <w:rFonts w:ascii="Arial" w:hAnsi="Arial" w:cs="Arial"/>
          <w:sz w:val="24"/>
          <w:szCs w:val="24"/>
        </w:rPr>
        <w:t xml:space="preserve">routine </w:t>
      </w:r>
      <w:r w:rsidRPr="00C018CA">
        <w:rPr>
          <w:rFonts w:ascii="Arial" w:hAnsi="Arial" w:cs="Arial"/>
          <w:sz w:val="24"/>
          <w:szCs w:val="24"/>
        </w:rPr>
        <w:t xml:space="preserve">payments in accordance with the </w:t>
      </w:r>
      <w:r w:rsidR="00802E07">
        <w:rPr>
          <w:rFonts w:ascii="Arial" w:hAnsi="Arial" w:cs="Arial"/>
          <w:sz w:val="24"/>
          <w:szCs w:val="24"/>
        </w:rPr>
        <w:t xml:space="preserve">approved </w:t>
      </w:r>
      <w:r w:rsidR="00C018CA" w:rsidRPr="00C018CA">
        <w:rPr>
          <w:rFonts w:ascii="Arial" w:hAnsi="Arial" w:cs="Arial"/>
          <w:sz w:val="24"/>
          <w:szCs w:val="24"/>
        </w:rPr>
        <w:t>monthly cashflow</w:t>
      </w:r>
      <w:r w:rsidR="00C018CA">
        <w:rPr>
          <w:rFonts w:ascii="Arial" w:hAnsi="Arial" w:cs="Arial"/>
          <w:sz w:val="24"/>
          <w:szCs w:val="24"/>
        </w:rPr>
        <w:t xml:space="preserve"> / budget</w:t>
      </w:r>
      <w:r w:rsidR="00C018CA" w:rsidRPr="00C018CA">
        <w:rPr>
          <w:rFonts w:ascii="Arial" w:hAnsi="Arial" w:cs="Arial"/>
          <w:sz w:val="24"/>
          <w:szCs w:val="24"/>
        </w:rPr>
        <w:t xml:space="preserve">. </w:t>
      </w:r>
    </w:p>
    <w:p w14:paraId="63C0105A" w14:textId="77777777" w:rsidR="00C93938" w:rsidRDefault="00C93938" w:rsidP="00C93938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2C608BB" w14:textId="7D634D8E" w:rsidR="00E8341E" w:rsidRDefault="009D5835" w:rsidP="00303B2D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Harbour Master can authorise </w:t>
      </w:r>
      <w:r w:rsidR="009F5F4D">
        <w:rPr>
          <w:rFonts w:ascii="Arial" w:hAnsi="Arial" w:cs="Arial"/>
          <w:sz w:val="24"/>
          <w:szCs w:val="24"/>
        </w:rPr>
        <w:t xml:space="preserve">unbudgeted </w:t>
      </w:r>
      <w:r w:rsidR="00622309" w:rsidRPr="00C018CA">
        <w:rPr>
          <w:rFonts w:ascii="Arial" w:hAnsi="Arial" w:cs="Arial"/>
          <w:sz w:val="24"/>
          <w:szCs w:val="24"/>
        </w:rPr>
        <w:t xml:space="preserve">payments </w:t>
      </w:r>
      <w:r>
        <w:rPr>
          <w:rFonts w:ascii="Arial" w:hAnsi="Arial" w:cs="Arial"/>
          <w:sz w:val="24"/>
          <w:szCs w:val="24"/>
        </w:rPr>
        <w:t>up to £500 without recourse to the Commissioners but</w:t>
      </w:r>
      <w:r w:rsidR="00802E0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if time permits</w:t>
      </w:r>
      <w:r w:rsidR="00391FA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would normally be expected to </w:t>
      </w:r>
      <w:r w:rsidR="00E8341E">
        <w:rPr>
          <w:rFonts w:ascii="Arial" w:hAnsi="Arial" w:cs="Arial"/>
          <w:sz w:val="24"/>
          <w:szCs w:val="24"/>
        </w:rPr>
        <w:t>seek</w:t>
      </w:r>
      <w:r w:rsidR="00802E07">
        <w:rPr>
          <w:rFonts w:ascii="Arial" w:hAnsi="Arial" w:cs="Arial"/>
          <w:sz w:val="24"/>
          <w:szCs w:val="24"/>
        </w:rPr>
        <w:t xml:space="preserve"> their </w:t>
      </w:r>
      <w:r w:rsidR="00622309" w:rsidRPr="00C018CA">
        <w:rPr>
          <w:rFonts w:ascii="Arial" w:hAnsi="Arial" w:cs="Arial"/>
          <w:sz w:val="24"/>
          <w:szCs w:val="24"/>
        </w:rPr>
        <w:t>approval</w:t>
      </w:r>
      <w:r w:rsidR="00E336CF">
        <w:rPr>
          <w:rFonts w:ascii="Arial" w:hAnsi="Arial" w:cs="Arial"/>
          <w:sz w:val="24"/>
          <w:szCs w:val="24"/>
        </w:rPr>
        <w:t xml:space="preserve"> or at the very least that of the Chairman</w:t>
      </w:r>
      <w:r w:rsidR="00E8341E">
        <w:rPr>
          <w:rFonts w:ascii="Arial" w:hAnsi="Arial" w:cs="Arial"/>
          <w:sz w:val="24"/>
          <w:szCs w:val="24"/>
        </w:rPr>
        <w:t>.</w:t>
      </w:r>
    </w:p>
    <w:p w14:paraId="6DF89A90" w14:textId="77777777" w:rsidR="00C93938" w:rsidRDefault="00C93938" w:rsidP="00C93938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3270E5F2" w14:textId="1702C113" w:rsidR="00A70CE3" w:rsidRDefault="00E8341E" w:rsidP="00303B2D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exceptional circumstances</w:t>
      </w:r>
      <w:r w:rsidR="00802E0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Harbour Master</w:t>
      </w:r>
      <w:r w:rsidR="00391FA1">
        <w:rPr>
          <w:rFonts w:ascii="Arial" w:hAnsi="Arial" w:cs="Arial"/>
          <w:sz w:val="24"/>
          <w:szCs w:val="24"/>
        </w:rPr>
        <w:t xml:space="preserve"> may authorise </w:t>
      </w:r>
      <w:r w:rsidR="00622309" w:rsidRPr="00C018CA">
        <w:rPr>
          <w:rFonts w:ascii="Arial" w:hAnsi="Arial" w:cs="Arial"/>
          <w:sz w:val="24"/>
          <w:szCs w:val="24"/>
        </w:rPr>
        <w:t xml:space="preserve">(e.g. an </w:t>
      </w:r>
      <w:r w:rsidR="00E336CF">
        <w:rPr>
          <w:rFonts w:ascii="Arial" w:hAnsi="Arial" w:cs="Arial"/>
          <w:sz w:val="24"/>
          <w:szCs w:val="24"/>
        </w:rPr>
        <w:t xml:space="preserve">oil spill </w:t>
      </w:r>
      <w:r w:rsidR="00622309" w:rsidRPr="00C018CA">
        <w:rPr>
          <w:rFonts w:ascii="Arial" w:hAnsi="Arial" w:cs="Arial"/>
          <w:sz w:val="24"/>
          <w:szCs w:val="24"/>
        </w:rPr>
        <w:t xml:space="preserve">emergency in the Harbour) </w:t>
      </w:r>
      <w:r w:rsidR="00391FA1">
        <w:rPr>
          <w:rFonts w:ascii="Arial" w:hAnsi="Arial" w:cs="Arial"/>
          <w:sz w:val="24"/>
          <w:szCs w:val="24"/>
        </w:rPr>
        <w:t>payments</w:t>
      </w:r>
      <w:r w:rsidR="00A70CE3">
        <w:rPr>
          <w:rFonts w:ascii="Arial" w:hAnsi="Arial" w:cs="Arial"/>
          <w:sz w:val="24"/>
          <w:szCs w:val="24"/>
        </w:rPr>
        <w:t xml:space="preserve"> up to £5,000</w:t>
      </w:r>
      <w:r w:rsidR="00391FA1">
        <w:rPr>
          <w:rFonts w:ascii="Arial" w:hAnsi="Arial" w:cs="Arial"/>
          <w:sz w:val="24"/>
          <w:szCs w:val="24"/>
        </w:rPr>
        <w:t xml:space="preserve"> </w:t>
      </w:r>
      <w:r w:rsidR="00A70CE3">
        <w:rPr>
          <w:rFonts w:ascii="Arial" w:hAnsi="Arial" w:cs="Arial"/>
          <w:sz w:val="24"/>
          <w:szCs w:val="24"/>
        </w:rPr>
        <w:t xml:space="preserve">but should consult with the </w:t>
      </w:r>
      <w:r w:rsidR="00622309" w:rsidRPr="00C018CA">
        <w:rPr>
          <w:rFonts w:ascii="Arial" w:hAnsi="Arial" w:cs="Arial"/>
          <w:sz w:val="24"/>
          <w:szCs w:val="24"/>
        </w:rPr>
        <w:t>Chairman</w:t>
      </w:r>
      <w:r w:rsidR="00A70CE3">
        <w:rPr>
          <w:rFonts w:ascii="Arial" w:hAnsi="Arial" w:cs="Arial"/>
          <w:sz w:val="24"/>
          <w:szCs w:val="24"/>
        </w:rPr>
        <w:t xml:space="preserve"> at the earliest opportunity.</w:t>
      </w:r>
    </w:p>
    <w:p w14:paraId="5EE4BAA2" w14:textId="77777777" w:rsidR="00C93938" w:rsidRDefault="00C93938" w:rsidP="00C93938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7E1E5A6" w14:textId="399F59D1" w:rsidR="00A70CE3" w:rsidRDefault="00A70CE3" w:rsidP="00303B2D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Payments </w:t>
      </w:r>
      <w:proofErr w:type="gramStart"/>
      <w:r>
        <w:rPr>
          <w:rFonts w:ascii="Arial" w:hAnsi="Arial" w:cs="Arial"/>
          <w:sz w:val="24"/>
          <w:szCs w:val="24"/>
        </w:rPr>
        <w:t>in excess of</w:t>
      </w:r>
      <w:proofErr w:type="gramEnd"/>
      <w:r>
        <w:rPr>
          <w:rFonts w:ascii="Arial" w:hAnsi="Arial" w:cs="Arial"/>
          <w:sz w:val="24"/>
          <w:szCs w:val="24"/>
        </w:rPr>
        <w:t xml:space="preserve"> £500 </w:t>
      </w:r>
      <w:r w:rsidR="00EB71A8">
        <w:rPr>
          <w:rFonts w:ascii="Arial" w:hAnsi="Arial" w:cs="Arial"/>
          <w:sz w:val="24"/>
          <w:szCs w:val="24"/>
        </w:rPr>
        <w:t>that are not</w:t>
      </w:r>
      <w:r>
        <w:rPr>
          <w:rFonts w:ascii="Arial" w:hAnsi="Arial" w:cs="Arial"/>
          <w:sz w:val="24"/>
          <w:szCs w:val="24"/>
        </w:rPr>
        <w:t xml:space="preserve"> part of the monthly cashflow / budget and </w:t>
      </w:r>
      <w:r w:rsidR="00802E07">
        <w:rPr>
          <w:rFonts w:ascii="Arial" w:hAnsi="Arial" w:cs="Arial"/>
          <w:sz w:val="24"/>
          <w:szCs w:val="24"/>
        </w:rPr>
        <w:t xml:space="preserve">must be </w:t>
      </w:r>
      <w:r>
        <w:rPr>
          <w:rFonts w:ascii="Arial" w:hAnsi="Arial" w:cs="Arial"/>
          <w:sz w:val="24"/>
          <w:szCs w:val="24"/>
        </w:rPr>
        <w:t xml:space="preserve">expressly approved by the Commissioners. </w:t>
      </w:r>
    </w:p>
    <w:p w14:paraId="55D3A467" w14:textId="77777777" w:rsidR="003F4AA1" w:rsidRDefault="003F4AA1" w:rsidP="003F4AA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5095A875" w14:textId="5FB5AFE5" w:rsidR="009D3D27" w:rsidRDefault="00A70CE3" w:rsidP="00303B2D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every bi-monthly Commissioners meeting, </w:t>
      </w:r>
      <w:r w:rsidR="009D3D27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="009D3D27">
        <w:rPr>
          <w:rFonts w:ascii="Arial" w:hAnsi="Arial" w:cs="Arial"/>
          <w:sz w:val="24"/>
          <w:szCs w:val="24"/>
        </w:rPr>
        <w:t>Harbour</w:t>
      </w:r>
      <w:r>
        <w:rPr>
          <w:rFonts w:ascii="Arial" w:hAnsi="Arial" w:cs="Arial"/>
          <w:sz w:val="24"/>
          <w:szCs w:val="24"/>
        </w:rPr>
        <w:t xml:space="preserve"> </w:t>
      </w:r>
      <w:r w:rsidR="009D3D27">
        <w:rPr>
          <w:rFonts w:ascii="Arial" w:hAnsi="Arial" w:cs="Arial"/>
          <w:sz w:val="24"/>
          <w:szCs w:val="24"/>
        </w:rPr>
        <w:t>Master</w:t>
      </w:r>
      <w:r>
        <w:rPr>
          <w:rFonts w:ascii="Arial" w:hAnsi="Arial" w:cs="Arial"/>
          <w:sz w:val="24"/>
          <w:szCs w:val="24"/>
        </w:rPr>
        <w:t xml:space="preserve"> </w:t>
      </w:r>
      <w:r w:rsidR="009D3D27">
        <w:rPr>
          <w:rFonts w:ascii="Arial" w:hAnsi="Arial" w:cs="Arial"/>
          <w:sz w:val="24"/>
          <w:szCs w:val="24"/>
        </w:rPr>
        <w:t>will make a written financial report to the Commissioner</w:t>
      </w:r>
      <w:r w:rsidR="00132D83">
        <w:rPr>
          <w:rFonts w:ascii="Arial" w:hAnsi="Arial" w:cs="Arial"/>
          <w:sz w:val="24"/>
          <w:szCs w:val="24"/>
        </w:rPr>
        <w:t>s</w:t>
      </w:r>
      <w:r w:rsidR="009D3D27">
        <w:rPr>
          <w:rFonts w:ascii="Arial" w:hAnsi="Arial" w:cs="Arial"/>
          <w:sz w:val="24"/>
          <w:szCs w:val="24"/>
        </w:rPr>
        <w:t xml:space="preserve">. </w:t>
      </w:r>
      <w:r w:rsidR="006855DF">
        <w:rPr>
          <w:rFonts w:ascii="Arial" w:hAnsi="Arial" w:cs="Arial"/>
          <w:sz w:val="24"/>
          <w:szCs w:val="24"/>
        </w:rPr>
        <w:t xml:space="preserve"> </w:t>
      </w:r>
      <w:r w:rsidR="00552700">
        <w:rPr>
          <w:rFonts w:ascii="Arial" w:hAnsi="Arial" w:cs="Arial"/>
          <w:sz w:val="24"/>
          <w:szCs w:val="24"/>
        </w:rPr>
        <w:t>T</w:t>
      </w:r>
      <w:r w:rsidR="006855DF">
        <w:rPr>
          <w:rFonts w:ascii="Arial" w:hAnsi="Arial" w:cs="Arial"/>
          <w:sz w:val="24"/>
          <w:szCs w:val="24"/>
        </w:rPr>
        <w:t xml:space="preserve">he </w:t>
      </w:r>
      <w:r w:rsidR="009D3D27">
        <w:rPr>
          <w:rFonts w:ascii="Arial" w:hAnsi="Arial" w:cs="Arial"/>
          <w:sz w:val="24"/>
          <w:szCs w:val="24"/>
        </w:rPr>
        <w:t>report should detail:</w:t>
      </w:r>
    </w:p>
    <w:p w14:paraId="54BD581A" w14:textId="77777777" w:rsidR="00ED464B" w:rsidRDefault="00ED464B" w:rsidP="00303B2D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Balance in Current Account.</w:t>
      </w:r>
    </w:p>
    <w:p w14:paraId="39D3C2FE" w14:textId="77777777" w:rsidR="00ED464B" w:rsidRDefault="00ED464B" w:rsidP="00303B2D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Balance in Reserves.</w:t>
      </w:r>
    </w:p>
    <w:p w14:paraId="2B25FEB5" w14:textId="60061B13" w:rsidR="007B2968" w:rsidRDefault="00ED464B" w:rsidP="00303B2D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Variance in each account against </w:t>
      </w:r>
      <w:r w:rsidR="007B2968">
        <w:rPr>
          <w:rFonts w:ascii="Arial" w:hAnsi="Arial" w:cs="Arial"/>
          <w:sz w:val="24"/>
          <w:szCs w:val="24"/>
        </w:rPr>
        <w:t>financial forecast</w:t>
      </w:r>
      <w:r w:rsidR="00552700">
        <w:rPr>
          <w:rFonts w:ascii="Arial" w:hAnsi="Arial" w:cs="Arial"/>
          <w:sz w:val="24"/>
          <w:szCs w:val="24"/>
        </w:rPr>
        <w:t xml:space="preserve"> and the reasons</w:t>
      </w:r>
      <w:r w:rsidR="007B2968">
        <w:rPr>
          <w:rFonts w:ascii="Arial" w:hAnsi="Arial" w:cs="Arial"/>
          <w:sz w:val="24"/>
          <w:szCs w:val="24"/>
        </w:rPr>
        <w:t>.</w:t>
      </w:r>
    </w:p>
    <w:p w14:paraId="714F8BE8" w14:textId="520F0DD0" w:rsidR="00552700" w:rsidRDefault="00552700" w:rsidP="00303B2D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Notable variances between the budget and actual expenditure and the reasons.</w:t>
      </w:r>
    </w:p>
    <w:p w14:paraId="56400FA5" w14:textId="72A511F1" w:rsidR="00E336CF" w:rsidRDefault="00552700" w:rsidP="00303B2D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Notable debtors and creditors</w:t>
      </w:r>
      <w:r w:rsidR="00E336C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DC34031" w14:textId="61C824FE" w:rsidR="00A70CE3" w:rsidRDefault="007B2968" w:rsidP="00303B2D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forecast for the next quarter.</w:t>
      </w:r>
      <w:r w:rsidR="00ED464B">
        <w:rPr>
          <w:rFonts w:ascii="Arial" w:hAnsi="Arial" w:cs="Arial"/>
          <w:sz w:val="24"/>
          <w:szCs w:val="24"/>
        </w:rPr>
        <w:t xml:space="preserve">   </w:t>
      </w:r>
      <w:r w:rsidR="009D3D27">
        <w:rPr>
          <w:rFonts w:ascii="Arial" w:hAnsi="Arial" w:cs="Arial"/>
          <w:sz w:val="24"/>
          <w:szCs w:val="24"/>
        </w:rPr>
        <w:t xml:space="preserve">   </w:t>
      </w:r>
      <w:r w:rsidR="00A70CE3">
        <w:rPr>
          <w:rFonts w:ascii="Arial" w:hAnsi="Arial" w:cs="Arial"/>
          <w:sz w:val="24"/>
          <w:szCs w:val="24"/>
        </w:rPr>
        <w:t xml:space="preserve">  </w:t>
      </w:r>
    </w:p>
    <w:p w14:paraId="1062111B" w14:textId="7825666A" w:rsidR="00622309" w:rsidRDefault="00A70CE3" w:rsidP="00303B2D">
      <w:pPr>
        <w:pStyle w:val="Heading1"/>
        <w:spacing w:line="360" w:lineRule="auto"/>
      </w:pPr>
      <w:r>
        <w:t xml:space="preserve">Debts &amp; Recovery </w:t>
      </w:r>
    </w:p>
    <w:p w14:paraId="0453F22A" w14:textId="77777777" w:rsidR="00D36D71" w:rsidRDefault="00D36D71" w:rsidP="00303B2D">
      <w:pPr>
        <w:spacing w:line="360" w:lineRule="auto"/>
        <w:rPr>
          <w:rFonts w:ascii="Arial" w:hAnsi="Arial" w:cs="Arial"/>
          <w:sz w:val="24"/>
          <w:szCs w:val="24"/>
        </w:rPr>
      </w:pPr>
    </w:p>
    <w:p w14:paraId="1AB28E8B" w14:textId="273CD35C" w:rsidR="007806F1" w:rsidRDefault="00622309" w:rsidP="00303B2D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D36D71">
        <w:rPr>
          <w:rFonts w:ascii="Arial" w:hAnsi="Arial" w:cs="Arial"/>
          <w:sz w:val="24"/>
          <w:szCs w:val="24"/>
        </w:rPr>
        <w:t xml:space="preserve"> </w:t>
      </w:r>
      <w:r w:rsidR="00552700">
        <w:rPr>
          <w:rFonts w:ascii="Arial" w:hAnsi="Arial" w:cs="Arial"/>
          <w:sz w:val="24"/>
          <w:szCs w:val="24"/>
        </w:rPr>
        <w:t>D</w:t>
      </w:r>
      <w:r w:rsidRPr="00D36D71">
        <w:rPr>
          <w:rFonts w:ascii="Arial" w:hAnsi="Arial" w:cs="Arial"/>
          <w:sz w:val="24"/>
          <w:szCs w:val="24"/>
        </w:rPr>
        <w:t xml:space="preserve">ebts due to the Commissioners </w:t>
      </w:r>
      <w:r w:rsidR="00552700">
        <w:rPr>
          <w:rFonts w:ascii="Arial" w:hAnsi="Arial" w:cs="Arial"/>
          <w:sz w:val="24"/>
          <w:szCs w:val="24"/>
        </w:rPr>
        <w:t xml:space="preserve">that </w:t>
      </w:r>
      <w:r w:rsidRPr="00D36D71">
        <w:rPr>
          <w:rFonts w:ascii="Arial" w:hAnsi="Arial" w:cs="Arial"/>
          <w:sz w:val="24"/>
          <w:szCs w:val="24"/>
        </w:rPr>
        <w:t xml:space="preserve">are not paid within </w:t>
      </w:r>
      <w:r w:rsidR="001E5E49">
        <w:rPr>
          <w:rFonts w:ascii="Arial" w:hAnsi="Arial" w:cs="Arial"/>
          <w:sz w:val="24"/>
          <w:szCs w:val="24"/>
        </w:rPr>
        <w:t xml:space="preserve">the </w:t>
      </w:r>
      <w:r w:rsidRPr="00D36D71">
        <w:rPr>
          <w:rFonts w:ascii="Arial" w:hAnsi="Arial" w:cs="Arial"/>
          <w:sz w:val="24"/>
          <w:szCs w:val="24"/>
        </w:rPr>
        <w:t>appropriate timeframe</w:t>
      </w:r>
      <w:r w:rsidR="00552700">
        <w:rPr>
          <w:rFonts w:ascii="Arial" w:hAnsi="Arial" w:cs="Arial"/>
          <w:sz w:val="24"/>
          <w:szCs w:val="24"/>
        </w:rPr>
        <w:t xml:space="preserve"> will be dealt with </w:t>
      </w:r>
      <w:r w:rsidRPr="00D36D71">
        <w:rPr>
          <w:rFonts w:ascii="Arial" w:hAnsi="Arial" w:cs="Arial"/>
          <w:sz w:val="24"/>
          <w:szCs w:val="24"/>
        </w:rPr>
        <w:t>as follows:</w:t>
      </w:r>
    </w:p>
    <w:p w14:paraId="4E0CC878" w14:textId="77777777" w:rsidR="003F4AA1" w:rsidRDefault="003F4AA1" w:rsidP="003F4AA1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280D7178" w14:textId="3ABAB528" w:rsidR="007806F1" w:rsidRDefault="00622309" w:rsidP="00303B2D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7806F1">
        <w:rPr>
          <w:rFonts w:ascii="Arial" w:hAnsi="Arial" w:cs="Arial"/>
          <w:sz w:val="24"/>
          <w:szCs w:val="24"/>
        </w:rPr>
        <w:t>If full payment is not received after</w:t>
      </w:r>
      <w:r w:rsidR="00E336CF">
        <w:rPr>
          <w:rFonts w:ascii="Arial" w:hAnsi="Arial" w:cs="Arial"/>
          <w:sz w:val="24"/>
          <w:szCs w:val="24"/>
        </w:rPr>
        <w:t xml:space="preserve"> 30 days</w:t>
      </w:r>
      <w:r w:rsidR="00356AFD">
        <w:rPr>
          <w:rFonts w:ascii="Arial" w:hAnsi="Arial" w:cs="Arial"/>
          <w:sz w:val="24"/>
          <w:szCs w:val="24"/>
        </w:rPr>
        <w:t xml:space="preserve"> of the due date</w:t>
      </w:r>
      <w:r w:rsidR="00E336CF">
        <w:rPr>
          <w:rStyle w:val="CommentReference"/>
        </w:rPr>
        <w:t>,</w:t>
      </w:r>
      <w:r w:rsidRPr="007806F1">
        <w:rPr>
          <w:rFonts w:ascii="Arial" w:hAnsi="Arial" w:cs="Arial"/>
          <w:sz w:val="24"/>
          <w:szCs w:val="24"/>
        </w:rPr>
        <w:t xml:space="preserve"> a </w:t>
      </w:r>
      <w:proofErr w:type="gramStart"/>
      <w:r w:rsidR="008A5C39">
        <w:rPr>
          <w:rFonts w:ascii="Arial" w:hAnsi="Arial" w:cs="Arial"/>
          <w:sz w:val="24"/>
          <w:szCs w:val="24"/>
        </w:rPr>
        <w:t>7 day</w:t>
      </w:r>
      <w:proofErr w:type="gramEnd"/>
      <w:r w:rsidR="008A5C39">
        <w:rPr>
          <w:rFonts w:ascii="Arial" w:hAnsi="Arial" w:cs="Arial"/>
          <w:sz w:val="24"/>
          <w:szCs w:val="24"/>
        </w:rPr>
        <w:t xml:space="preserve"> </w:t>
      </w:r>
      <w:r w:rsidR="001E5E49" w:rsidRPr="007806F1">
        <w:rPr>
          <w:rFonts w:ascii="Arial" w:hAnsi="Arial" w:cs="Arial"/>
          <w:sz w:val="24"/>
          <w:szCs w:val="24"/>
        </w:rPr>
        <w:t xml:space="preserve">reminder letter will </w:t>
      </w:r>
      <w:r w:rsidRPr="007806F1">
        <w:rPr>
          <w:rFonts w:ascii="Arial" w:hAnsi="Arial" w:cs="Arial"/>
          <w:sz w:val="24"/>
          <w:szCs w:val="24"/>
        </w:rPr>
        <w:t xml:space="preserve">be sent to the </w:t>
      </w:r>
      <w:r w:rsidR="007806F1" w:rsidRPr="007806F1">
        <w:rPr>
          <w:rFonts w:ascii="Arial" w:hAnsi="Arial" w:cs="Arial"/>
          <w:sz w:val="24"/>
          <w:szCs w:val="24"/>
        </w:rPr>
        <w:t>debtor</w:t>
      </w:r>
      <w:r w:rsidR="008A5C39">
        <w:rPr>
          <w:rFonts w:ascii="Arial" w:hAnsi="Arial" w:cs="Arial"/>
          <w:sz w:val="24"/>
          <w:szCs w:val="24"/>
        </w:rPr>
        <w:t xml:space="preserve"> and interest will be applied at 8.5%pa</w:t>
      </w:r>
      <w:r w:rsidR="00480018">
        <w:rPr>
          <w:rFonts w:ascii="Arial" w:hAnsi="Arial" w:cs="Arial"/>
          <w:sz w:val="24"/>
          <w:szCs w:val="24"/>
        </w:rPr>
        <w:t>.</w:t>
      </w:r>
    </w:p>
    <w:p w14:paraId="0F90CB12" w14:textId="77777777" w:rsidR="003F4AA1" w:rsidRDefault="003F4AA1" w:rsidP="003F4AA1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7041DE75" w14:textId="44205B90" w:rsidR="00FB5BA9" w:rsidRDefault="00622309" w:rsidP="00303B2D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7806F1">
        <w:rPr>
          <w:rFonts w:ascii="Arial" w:hAnsi="Arial" w:cs="Arial"/>
          <w:sz w:val="24"/>
          <w:szCs w:val="24"/>
        </w:rPr>
        <w:t xml:space="preserve">If full payment is not received </w:t>
      </w:r>
      <w:r w:rsidR="008A5C39">
        <w:rPr>
          <w:rFonts w:ascii="Arial" w:hAnsi="Arial" w:cs="Arial"/>
          <w:sz w:val="24"/>
          <w:szCs w:val="24"/>
        </w:rPr>
        <w:t>a further 14</w:t>
      </w:r>
      <w:r w:rsidR="00E336CF">
        <w:rPr>
          <w:rFonts w:ascii="Arial" w:hAnsi="Arial" w:cs="Arial"/>
          <w:sz w:val="24"/>
          <w:szCs w:val="24"/>
        </w:rPr>
        <w:t xml:space="preserve"> days</w:t>
      </w:r>
      <w:r w:rsidR="00225D9D">
        <w:rPr>
          <w:rFonts w:ascii="Arial" w:hAnsi="Arial" w:cs="Arial"/>
          <w:sz w:val="24"/>
          <w:szCs w:val="24"/>
        </w:rPr>
        <w:t xml:space="preserve"> after the due date</w:t>
      </w:r>
      <w:r w:rsidR="00E336CF">
        <w:rPr>
          <w:rFonts w:ascii="Arial" w:hAnsi="Arial" w:cs="Arial"/>
          <w:sz w:val="24"/>
          <w:szCs w:val="24"/>
        </w:rPr>
        <w:t xml:space="preserve">, </w:t>
      </w:r>
      <w:r w:rsidRPr="007806F1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8A5C39">
        <w:rPr>
          <w:rFonts w:ascii="Arial" w:hAnsi="Arial" w:cs="Arial"/>
          <w:sz w:val="24"/>
          <w:szCs w:val="24"/>
        </w:rPr>
        <w:t>21 day</w:t>
      </w:r>
      <w:proofErr w:type="gramEnd"/>
      <w:r w:rsidR="008A5C39">
        <w:rPr>
          <w:rFonts w:ascii="Arial" w:hAnsi="Arial" w:cs="Arial"/>
          <w:sz w:val="24"/>
          <w:szCs w:val="24"/>
        </w:rPr>
        <w:t xml:space="preserve"> notice of legal proceedings will be issued via recorded delivery. It will be noted in that letter that no further reminders will be issued.</w:t>
      </w:r>
    </w:p>
    <w:p w14:paraId="76ABB37F" w14:textId="77777777" w:rsidR="003F4AA1" w:rsidRDefault="003F4AA1" w:rsidP="003F4AA1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2DF331ED" w14:textId="3EF6148F" w:rsidR="00EF4393" w:rsidRPr="00FB5BA9" w:rsidRDefault="00622309" w:rsidP="00303B2D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FB5BA9">
        <w:rPr>
          <w:rFonts w:ascii="Arial" w:hAnsi="Arial" w:cs="Arial"/>
          <w:sz w:val="24"/>
          <w:szCs w:val="24"/>
        </w:rPr>
        <w:t xml:space="preserve">If full payment is still not received </w:t>
      </w:r>
      <w:r w:rsidR="008A5C39">
        <w:rPr>
          <w:rFonts w:ascii="Arial" w:hAnsi="Arial" w:cs="Arial"/>
          <w:sz w:val="24"/>
          <w:szCs w:val="24"/>
        </w:rPr>
        <w:t xml:space="preserve">after the </w:t>
      </w:r>
      <w:proofErr w:type="gramStart"/>
      <w:r w:rsidR="008A5C39">
        <w:rPr>
          <w:rFonts w:ascii="Arial" w:hAnsi="Arial" w:cs="Arial"/>
          <w:sz w:val="24"/>
          <w:szCs w:val="24"/>
        </w:rPr>
        <w:t>21 day</w:t>
      </w:r>
      <w:proofErr w:type="gramEnd"/>
      <w:r w:rsidR="008A5C39">
        <w:rPr>
          <w:rFonts w:ascii="Arial" w:hAnsi="Arial" w:cs="Arial"/>
          <w:sz w:val="24"/>
          <w:szCs w:val="24"/>
        </w:rPr>
        <w:t xml:space="preserve"> notice has been served</w:t>
      </w:r>
      <w:r w:rsidR="005E46FE">
        <w:rPr>
          <w:rFonts w:ascii="Arial" w:hAnsi="Arial" w:cs="Arial"/>
          <w:sz w:val="24"/>
          <w:szCs w:val="24"/>
        </w:rPr>
        <w:t>,</w:t>
      </w:r>
      <w:r w:rsidR="008A5C39">
        <w:rPr>
          <w:rFonts w:ascii="Arial" w:hAnsi="Arial" w:cs="Arial"/>
          <w:sz w:val="24"/>
          <w:szCs w:val="24"/>
        </w:rPr>
        <w:t xml:space="preserve"> then debt will be passed to solicitors for legal proceedings to commence.</w:t>
      </w:r>
      <w:r w:rsidR="00EB5AA4">
        <w:rPr>
          <w:rFonts w:ascii="Arial" w:hAnsi="Arial" w:cs="Arial"/>
          <w:sz w:val="24"/>
          <w:szCs w:val="24"/>
        </w:rPr>
        <w:t xml:space="preserve">  Please note that the costs for any legal proceedings will be the responsibility of </w:t>
      </w:r>
      <w:r w:rsidR="0000566F">
        <w:rPr>
          <w:rFonts w:ascii="Arial" w:hAnsi="Arial" w:cs="Arial"/>
          <w:sz w:val="24"/>
          <w:szCs w:val="24"/>
        </w:rPr>
        <w:t>Debtor.</w:t>
      </w:r>
    </w:p>
    <w:p w14:paraId="14CA1B30" w14:textId="77777777" w:rsidR="00105B94" w:rsidRPr="00105B94" w:rsidRDefault="00105B94" w:rsidP="00303B2D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3457F3A6" w14:textId="4722C83A" w:rsidR="00B53B21" w:rsidRDefault="00B53B21" w:rsidP="00B53B21">
      <w:pPr>
        <w:pStyle w:val="Heading1"/>
      </w:pPr>
      <w:r>
        <w:t xml:space="preserve">Contingency Fund </w:t>
      </w:r>
    </w:p>
    <w:p w14:paraId="66A32B8C" w14:textId="77777777" w:rsidR="00E80764" w:rsidRPr="00E80764" w:rsidRDefault="00E80764" w:rsidP="00E80764"/>
    <w:p w14:paraId="7D59028A" w14:textId="06665EE4" w:rsidR="00804195" w:rsidRDefault="00B53B21" w:rsidP="00303B2D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EB191F">
        <w:rPr>
          <w:rFonts w:ascii="Arial" w:hAnsi="Arial" w:cs="Arial"/>
          <w:sz w:val="24"/>
          <w:szCs w:val="24"/>
        </w:rPr>
        <w:t xml:space="preserve">Section 57 of the 1931 North Sunderland </w:t>
      </w:r>
      <w:r w:rsidR="00EB191F" w:rsidRPr="00EB191F">
        <w:rPr>
          <w:rFonts w:ascii="Arial" w:hAnsi="Arial" w:cs="Arial"/>
          <w:sz w:val="24"/>
          <w:szCs w:val="24"/>
        </w:rPr>
        <w:t>Harbour</w:t>
      </w:r>
      <w:r w:rsidRPr="00EB191F">
        <w:rPr>
          <w:rFonts w:ascii="Arial" w:hAnsi="Arial" w:cs="Arial"/>
          <w:sz w:val="24"/>
          <w:szCs w:val="24"/>
        </w:rPr>
        <w:t xml:space="preserve"> Act requires the </w:t>
      </w:r>
      <w:r w:rsidR="00EB191F" w:rsidRPr="00EB191F">
        <w:rPr>
          <w:rFonts w:ascii="Arial" w:hAnsi="Arial" w:cs="Arial"/>
          <w:sz w:val="24"/>
          <w:szCs w:val="24"/>
        </w:rPr>
        <w:t>Commissioners</w:t>
      </w:r>
      <w:r w:rsidRPr="00EB191F">
        <w:rPr>
          <w:rFonts w:ascii="Arial" w:hAnsi="Arial" w:cs="Arial"/>
          <w:sz w:val="24"/>
          <w:szCs w:val="24"/>
        </w:rPr>
        <w:t xml:space="preserve"> to set up and</w:t>
      </w:r>
      <w:r w:rsidR="00EB191F">
        <w:rPr>
          <w:rFonts w:ascii="Arial" w:hAnsi="Arial" w:cs="Arial"/>
          <w:sz w:val="24"/>
          <w:szCs w:val="24"/>
        </w:rPr>
        <w:t xml:space="preserve"> grow a Contingency fund</w:t>
      </w:r>
      <w:r w:rsidR="00D50691">
        <w:rPr>
          <w:rFonts w:ascii="Arial" w:hAnsi="Arial" w:cs="Arial"/>
          <w:sz w:val="24"/>
          <w:szCs w:val="24"/>
        </w:rPr>
        <w:t xml:space="preserve"> such that the </w:t>
      </w:r>
      <w:r w:rsidR="00804195">
        <w:rPr>
          <w:rFonts w:ascii="Arial" w:hAnsi="Arial" w:cs="Arial"/>
          <w:sz w:val="24"/>
          <w:szCs w:val="24"/>
        </w:rPr>
        <w:t>Harbour</w:t>
      </w:r>
      <w:r w:rsidR="00D50691">
        <w:rPr>
          <w:rFonts w:ascii="Arial" w:hAnsi="Arial" w:cs="Arial"/>
          <w:sz w:val="24"/>
          <w:szCs w:val="24"/>
        </w:rPr>
        <w:t xml:space="preserve"> can meet </w:t>
      </w:r>
      <w:r w:rsidR="00804195">
        <w:rPr>
          <w:rFonts w:ascii="Arial" w:hAnsi="Arial" w:cs="Arial"/>
          <w:sz w:val="24"/>
          <w:szCs w:val="24"/>
        </w:rPr>
        <w:t>“</w:t>
      </w:r>
      <w:r w:rsidR="00D50691">
        <w:rPr>
          <w:rFonts w:ascii="Arial" w:hAnsi="Arial" w:cs="Arial"/>
          <w:sz w:val="24"/>
          <w:szCs w:val="24"/>
        </w:rPr>
        <w:t xml:space="preserve">any </w:t>
      </w:r>
      <w:r w:rsidR="00804195">
        <w:rPr>
          <w:rFonts w:ascii="Arial" w:hAnsi="Arial" w:cs="Arial"/>
          <w:sz w:val="24"/>
          <w:szCs w:val="24"/>
        </w:rPr>
        <w:t>extraordinary</w:t>
      </w:r>
      <w:r w:rsidR="00D50691">
        <w:rPr>
          <w:rFonts w:ascii="Arial" w:hAnsi="Arial" w:cs="Arial"/>
          <w:sz w:val="24"/>
          <w:szCs w:val="24"/>
        </w:rPr>
        <w:t xml:space="preserve"> claim or demand or any </w:t>
      </w:r>
      <w:r w:rsidR="00804195">
        <w:rPr>
          <w:rFonts w:ascii="Arial" w:hAnsi="Arial" w:cs="Arial"/>
          <w:sz w:val="24"/>
          <w:szCs w:val="24"/>
        </w:rPr>
        <w:t>unforeseen</w:t>
      </w:r>
      <w:r w:rsidR="00D50691">
        <w:rPr>
          <w:rFonts w:ascii="Arial" w:hAnsi="Arial" w:cs="Arial"/>
          <w:sz w:val="24"/>
          <w:szCs w:val="24"/>
        </w:rPr>
        <w:t xml:space="preserve"> accident </w:t>
      </w:r>
      <w:r w:rsidR="00804195">
        <w:rPr>
          <w:rFonts w:ascii="Arial" w:hAnsi="Arial" w:cs="Arial"/>
          <w:sz w:val="24"/>
          <w:szCs w:val="24"/>
        </w:rPr>
        <w:t xml:space="preserve">for </w:t>
      </w:r>
      <w:r w:rsidR="003F4AA1">
        <w:rPr>
          <w:rFonts w:ascii="Arial" w:hAnsi="Arial" w:cs="Arial"/>
          <w:sz w:val="24"/>
          <w:szCs w:val="24"/>
        </w:rPr>
        <w:t>…. the</w:t>
      </w:r>
      <w:r w:rsidR="00804195">
        <w:rPr>
          <w:rFonts w:ascii="Arial" w:hAnsi="Arial" w:cs="Arial"/>
          <w:sz w:val="24"/>
          <w:szCs w:val="24"/>
        </w:rPr>
        <w:t xml:space="preserve"> proper development of the harbour.</w:t>
      </w:r>
      <w:r w:rsidR="00E80764">
        <w:rPr>
          <w:rFonts w:ascii="Arial" w:hAnsi="Arial" w:cs="Arial"/>
          <w:sz w:val="24"/>
          <w:szCs w:val="24"/>
        </w:rPr>
        <w:t>”</w:t>
      </w:r>
    </w:p>
    <w:p w14:paraId="7E980742" w14:textId="77777777" w:rsidR="003F4AA1" w:rsidRDefault="003F4AA1" w:rsidP="003F4AA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ECB73C0" w14:textId="3B97E6C2" w:rsidR="003F4AA1" w:rsidRDefault="00772DCE" w:rsidP="005412DC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772DCE">
        <w:rPr>
          <w:rFonts w:ascii="Arial" w:hAnsi="Arial" w:cs="Arial"/>
          <w:sz w:val="24"/>
          <w:szCs w:val="24"/>
        </w:rPr>
        <w:t>At the January Commissioners meeting, t</w:t>
      </w:r>
      <w:r w:rsidR="00804195" w:rsidRPr="00772DCE">
        <w:rPr>
          <w:rFonts w:ascii="Arial" w:hAnsi="Arial" w:cs="Arial"/>
          <w:sz w:val="24"/>
          <w:szCs w:val="24"/>
        </w:rPr>
        <w:t xml:space="preserve">he NSH Commissioners </w:t>
      </w:r>
      <w:r w:rsidR="00D97FC3" w:rsidRPr="00772DCE">
        <w:rPr>
          <w:rFonts w:ascii="Arial" w:hAnsi="Arial" w:cs="Arial"/>
          <w:sz w:val="24"/>
          <w:szCs w:val="24"/>
        </w:rPr>
        <w:t>will determine the appropriate reserve</w:t>
      </w:r>
      <w:r w:rsidRPr="00772DCE">
        <w:rPr>
          <w:rFonts w:ascii="Arial" w:hAnsi="Arial" w:cs="Arial"/>
          <w:sz w:val="24"/>
          <w:szCs w:val="24"/>
        </w:rPr>
        <w:t xml:space="preserve"> level</w:t>
      </w:r>
      <w:r w:rsidR="00D97FC3" w:rsidRPr="00772DCE">
        <w:rPr>
          <w:rFonts w:ascii="Arial" w:hAnsi="Arial" w:cs="Arial"/>
          <w:sz w:val="24"/>
          <w:szCs w:val="24"/>
        </w:rPr>
        <w:t xml:space="preserve">, giving due consideration to likely and known projects over a rolling </w:t>
      </w:r>
      <w:proofErr w:type="gramStart"/>
      <w:r w:rsidR="00D97FC3" w:rsidRPr="00772DCE">
        <w:rPr>
          <w:rFonts w:ascii="Arial" w:hAnsi="Arial" w:cs="Arial"/>
          <w:sz w:val="24"/>
          <w:szCs w:val="24"/>
        </w:rPr>
        <w:t>5 year</w:t>
      </w:r>
      <w:proofErr w:type="gramEnd"/>
      <w:r w:rsidR="00D97FC3" w:rsidRPr="00772DCE">
        <w:rPr>
          <w:rFonts w:ascii="Arial" w:hAnsi="Arial" w:cs="Arial"/>
          <w:sz w:val="24"/>
          <w:szCs w:val="24"/>
        </w:rPr>
        <w:t xml:space="preserve"> period.</w:t>
      </w:r>
      <w:r w:rsidRPr="00772DCE">
        <w:rPr>
          <w:rFonts w:ascii="Arial" w:hAnsi="Arial" w:cs="Arial"/>
          <w:sz w:val="24"/>
          <w:szCs w:val="24"/>
        </w:rPr>
        <w:t xml:space="preserve"> </w:t>
      </w:r>
    </w:p>
    <w:p w14:paraId="2B81176A" w14:textId="77777777" w:rsidR="00480018" w:rsidRPr="00480018" w:rsidRDefault="00480018" w:rsidP="00480018">
      <w:pPr>
        <w:pStyle w:val="ListParagraph"/>
        <w:rPr>
          <w:rFonts w:ascii="Arial" w:hAnsi="Arial" w:cs="Arial"/>
          <w:sz w:val="24"/>
          <w:szCs w:val="24"/>
        </w:rPr>
      </w:pPr>
    </w:p>
    <w:p w14:paraId="58BB7B96" w14:textId="77777777" w:rsidR="00480018" w:rsidRPr="00772DCE" w:rsidRDefault="00480018" w:rsidP="00480018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FCC94E4" w14:textId="020175B3" w:rsidR="00DD3A1A" w:rsidRPr="00DD3A1A" w:rsidRDefault="00AF6CA0" w:rsidP="00303B2D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lastRenderedPageBreak/>
        <w:t>For e</w:t>
      </w:r>
      <w:r w:rsidR="000478D5">
        <w:rPr>
          <w:rFonts w:ascii="Arial" w:hAnsi="Arial" w:cs="Arial"/>
          <w:sz w:val="24"/>
          <w:szCs w:val="24"/>
        </w:rPr>
        <w:t xml:space="preserve">very quarter, the NSHC will determine </w:t>
      </w:r>
      <w:r w:rsidR="00EA3B86">
        <w:rPr>
          <w:rFonts w:ascii="Arial" w:hAnsi="Arial" w:cs="Arial"/>
          <w:sz w:val="24"/>
          <w:szCs w:val="24"/>
        </w:rPr>
        <w:t xml:space="preserve">the amount of funds to be transferred from the current account into the </w:t>
      </w:r>
      <w:r w:rsidR="00D12EF7">
        <w:rPr>
          <w:rFonts w:ascii="Arial" w:hAnsi="Arial" w:cs="Arial"/>
          <w:sz w:val="24"/>
          <w:szCs w:val="24"/>
        </w:rPr>
        <w:t xml:space="preserve">contingency </w:t>
      </w:r>
      <w:r w:rsidR="00303B2D">
        <w:rPr>
          <w:rFonts w:ascii="Arial" w:hAnsi="Arial" w:cs="Arial"/>
          <w:sz w:val="24"/>
          <w:szCs w:val="24"/>
        </w:rPr>
        <w:t>fund</w:t>
      </w:r>
      <w:r w:rsidR="00DD3A1A">
        <w:rPr>
          <w:rFonts w:ascii="Arial" w:hAnsi="Arial" w:cs="Arial"/>
          <w:sz w:val="24"/>
          <w:szCs w:val="24"/>
        </w:rPr>
        <w:t>.</w:t>
      </w:r>
    </w:p>
    <w:p w14:paraId="35F06144" w14:textId="77777777" w:rsidR="007F6856" w:rsidRDefault="007F6856" w:rsidP="00105B94">
      <w:pPr>
        <w:rPr>
          <w:rFonts w:ascii="Arial" w:hAnsi="Arial" w:cs="Arial"/>
        </w:rPr>
      </w:pPr>
    </w:p>
    <w:p w14:paraId="599EFB95" w14:textId="77777777" w:rsidR="00792317" w:rsidRDefault="00792317" w:rsidP="00105B94">
      <w:pPr>
        <w:rPr>
          <w:rFonts w:ascii="Arial" w:hAnsi="Arial" w:cs="Arial"/>
        </w:rPr>
      </w:pPr>
    </w:p>
    <w:p w14:paraId="250AA0B1" w14:textId="77777777" w:rsidR="007F6856" w:rsidRPr="007F6856" w:rsidRDefault="007F6856" w:rsidP="00792317">
      <w:pPr>
        <w:pStyle w:val="Heading1"/>
      </w:pPr>
      <w:r w:rsidRPr="007F6856">
        <w:t xml:space="preserve">Annual Report </w:t>
      </w:r>
    </w:p>
    <w:p w14:paraId="4DE95E15" w14:textId="77777777" w:rsidR="002409C0" w:rsidRDefault="002409C0" w:rsidP="007F6856">
      <w:pPr>
        <w:rPr>
          <w:rFonts w:ascii="Arial" w:hAnsi="Arial" w:cs="Arial"/>
        </w:rPr>
      </w:pPr>
    </w:p>
    <w:p w14:paraId="1C2177D6" w14:textId="39FAA903" w:rsidR="00E26BD7" w:rsidRDefault="002409C0" w:rsidP="003F4AA1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2409C0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</w:t>
      </w:r>
      <w:r w:rsidRPr="002409C0">
        <w:rPr>
          <w:rFonts w:ascii="Arial" w:hAnsi="Arial" w:cs="Arial"/>
          <w:sz w:val="24"/>
          <w:szCs w:val="24"/>
        </w:rPr>
        <w:t>accordance with the Com</w:t>
      </w:r>
      <w:r>
        <w:rPr>
          <w:rFonts w:ascii="Arial" w:hAnsi="Arial" w:cs="Arial"/>
          <w:sz w:val="24"/>
          <w:szCs w:val="24"/>
        </w:rPr>
        <w:t>panies Act 2006</w:t>
      </w:r>
      <w:r w:rsidR="0052566D">
        <w:rPr>
          <w:rFonts w:ascii="Arial" w:hAnsi="Arial" w:cs="Arial"/>
          <w:sz w:val="24"/>
          <w:szCs w:val="24"/>
        </w:rPr>
        <w:t xml:space="preserve"> and</w:t>
      </w:r>
      <w:r w:rsidR="00D458CB">
        <w:rPr>
          <w:rFonts w:ascii="Arial" w:hAnsi="Arial" w:cs="Arial"/>
          <w:sz w:val="24"/>
          <w:szCs w:val="24"/>
        </w:rPr>
        <w:t xml:space="preserve"> paragraphs 2.18 - 2.27 of the Ports Good Governance Guide</w:t>
      </w:r>
      <w:r w:rsidR="001763E3">
        <w:rPr>
          <w:rFonts w:ascii="Arial" w:hAnsi="Arial" w:cs="Arial"/>
          <w:sz w:val="24"/>
          <w:szCs w:val="24"/>
        </w:rPr>
        <w:t xml:space="preserve">, every Statutory Harbour Authority </w:t>
      </w:r>
      <w:r w:rsidR="002C2567">
        <w:rPr>
          <w:rFonts w:ascii="Arial" w:hAnsi="Arial" w:cs="Arial"/>
          <w:sz w:val="24"/>
          <w:szCs w:val="24"/>
        </w:rPr>
        <w:t xml:space="preserve">should </w:t>
      </w:r>
      <w:r w:rsidR="00A23279">
        <w:rPr>
          <w:rFonts w:ascii="Arial" w:hAnsi="Arial" w:cs="Arial"/>
          <w:sz w:val="24"/>
          <w:szCs w:val="24"/>
        </w:rPr>
        <w:t xml:space="preserve">aim to </w:t>
      </w:r>
      <w:r w:rsidR="00E26BD7">
        <w:rPr>
          <w:rFonts w:ascii="Arial" w:hAnsi="Arial" w:cs="Arial"/>
          <w:sz w:val="24"/>
          <w:szCs w:val="24"/>
        </w:rPr>
        <w:t>produce</w:t>
      </w:r>
      <w:r w:rsidR="001763E3">
        <w:rPr>
          <w:rFonts w:ascii="Arial" w:hAnsi="Arial" w:cs="Arial"/>
          <w:sz w:val="24"/>
          <w:szCs w:val="24"/>
        </w:rPr>
        <w:t xml:space="preserve"> and publish a</w:t>
      </w:r>
      <w:r w:rsidR="00951371">
        <w:rPr>
          <w:rFonts w:ascii="Arial" w:hAnsi="Arial" w:cs="Arial"/>
          <w:sz w:val="24"/>
          <w:szCs w:val="24"/>
        </w:rPr>
        <w:t>n</w:t>
      </w:r>
      <w:r w:rsidR="001763E3">
        <w:rPr>
          <w:rFonts w:ascii="Arial" w:hAnsi="Arial" w:cs="Arial"/>
          <w:sz w:val="24"/>
          <w:szCs w:val="24"/>
        </w:rPr>
        <w:t xml:space="preserve"> annual</w:t>
      </w:r>
      <w:r w:rsidR="00951371">
        <w:rPr>
          <w:rFonts w:ascii="Arial" w:hAnsi="Arial" w:cs="Arial"/>
          <w:sz w:val="24"/>
          <w:szCs w:val="24"/>
        </w:rPr>
        <w:t xml:space="preserve"> report and a</w:t>
      </w:r>
      <w:r w:rsidR="001763E3">
        <w:rPr>
          <w:rFonts w:ascii="Arial" w:hAnsi="Arial" w:cs="Arial"/>
          <w:sz w:val="24"/>
          <w:szCs w:val="24"/>
        </w:rPr>
        <w:t>ccounts</w:t>
      </w:r>
      <w:r w:rsidR="00E26BD7">
        <w:rPr>
          <w:rStyle w:val="FootnoteReference"/>
          <w:rFonts w:ascii="Arial" w:hAnsi="Arial" w:cs="Arial"/>
          <w:sz w:val="24"/>
          <w:szCs w:val="24"/>
        </w:rPr>
        <w:footnoteReference w:id="4"/>
      </w:r>
      <w:r w:rsidR="000E0FEF">
        <w:rPr>
          <w:rFonts w:ascii="Arial" w:hAnsi="Arial" w:cs="Arial"/>
          <w:sz w:val="24"/>
          <w:szCs w:val="24"/>
        </w:rPr>
        <w:t>.</w:t>
      </w:r>
    </w:p>
    <w:p w14:paraId="3F58A1E4" w14:textId="77777777" w:rsidR="009219F3" w:rsidRDefault="009219F3" w:rsidP="003F4AA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27AFDBE" w14:textId="51BF9F8C" w:rsidR="002409C0" w:rsidRDefault="00E26BD7" w:rsidP="003F4AA1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annual report must be sent to the Secretary of State for Transport.  </w:t>
      </w:r>
      <w:r w:rsidR="001763E3">
        <w:rPr>
          <w:rFonts w:ascii="Arial" w:hAnsi="Arial" w:cs="Arial"/>
          <w:sz w:val="24"/>
          <w:szCs w:val="24"/>
        </w:rPr>
        <w:t xml:space="preserve"> </w:t>
      </w:r>
      <w:r w:rsidR="002409C0">
        <w:rPr>
          <w:rFonts w:ascii="Arial" w:hAnsi="Arial" w:cs="Arial"/>
          <w:sz w:val="24"/>
          <w:szCs w:val="24"/>
        </w:rPr>
        <w:t xml:space="preserve"> </w:t>
      </w:r>
    </w:p>
    <w:p w14:paraId="0F9C291B" w14:textId="77777777" w:rsidR="002409C0" w:rsidRDefault="002409C0" w:rsidP="003F4AA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5E519CD8" w14:textId="50C40291" w:rsidR="00A323FC" w:rsidRDefault="002409C0" w:rsidP="003F4AA1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2409C0">
        <w:rPr>
          <w:rFonts w:ascii="Arial" w:hAnsi="Arial" w:cs="Arial"/>
          <w:sz w:val="24"/>
          <w:szCs w:val="24"/>
        </w:rPr>
        <w:t xml:space="preserve"> </w:t>
      </w:r>
      <w:r w:rsidR="000E0FEF">
        <w:rPr>
          <w:rFonts w:ascii="Arial" w:hAnsi="Arial" w:cs="Arial"/>
          <w:sz w:val="24"/>
          <w:szCs w:val="24"/>
        </w:rPr>
        <w:t xml:space="preserve">The NSH Annual Report will be </w:t>
      </w:r>
      <w:r w:rsidR="00A323FC">
        <w:rPr>
          <w:rFonts w:ascii="Arial" w:hAnsi="Arial" w:cs="Arial"/>
          <w:sz w:val="24"/>
          <w:szCs w:val="24"/>
        </w:rPr>
        <w:t xml:space="preserve">produced </w:t>
      </w:r>
      <w:r w:rsidR="00A323FC" w:rsidRPr="002C2567">
        <w:rPr>
          <w:rFonts w:ascii="Arial" w:hAnsi="Arial" w:cs="Arial"/>
          <w:sz w:val="24"/>
          <w:szCs w:val="24"/>
        </w:rPr>
        <w:t>e</w:t>
      </w:r>
      <w:r w:rsidR="000E0FEF" w:rsidRPr="002C2567">
        <w:rPr>
          <w:rFonts w:ascii="Arial" w:hAnsi="Arial" w:cs="Arial"/>
          <w:sz w:val="24"/>
          <w:szCs w:val="24"/>
        </w:rPr>
        <w:t>very</w:t>
      </w:r>
      <w:r w:rsidR="00A323FC" w:rsidRPr="002C2567">
        <w:rPr>
          <w:rFonts w:ascii="Arial" w:hAnsi="Arial" w:cs="Arial"/>
          <w:sz w:val="24"/>
          <w:szCs w:val="24"/>
        </w:rPr>
        <w:t xml:space="preserve"> </w:t>
      </w:r>
      <w:r w:rsidR="00504A06" w:rsidRPr="002C2567">
        <w:rPr>
          <w:rFonts w:ascii="Arial" w:hAnsi="Arial" w:cs="Arial"/>
          <w:sz w:val="24"/>
          <w:szCs w:val="24"/>
        </w:rPr>
        <w:t>November</w:t>
      </w:r>
      <w:r w:rsidR="00A323FC" w:rsidRPr="002C2567">
        <w:rPr>
          <w:rFonts w:ascii="Arial" w:hAnsi="Arial" w:cs="Arial"/>
          <w:sz w:val="24"/>
          <w:szCs w:val="24"/>
        </w:rPr>
        <w:t xml:space="preserve"> and </w:t>
      </w:r>
      <w:r w:rsidR="00A323FC">
        <w:rPr>
          <w:rFonts w:ascii="Arial" w:hAnsi="Arial" w:cs="Arial"/>
          <w:sz w:val="24"/>
          <w:szCs w:val="24"/>
        </w:rPr>
        <w:t xml:space="preserve">will </w:t>
      </w:r>
      <w:r w:rsidR="002C2567">
        <w:rPr>
          <w:rFonts w:ascii="Arial" w:hAnsi="Arial" w:cs="Arial"/>
          <w:sz w:val="24"/>
          <w:szCs w:val="24"/>
        </w:rPr>
        <w:t xml:space="preserve">normally </w:t>
      </w:r>
      <w:r w:rsidR="00A323FC">
        <w:rPr>
          <w:rFonts w:ascii="Arial" w:hAnsi="Arial" w:cs="Arial"/>
          <w:sz w:val="24"/>
          <w:szCs w:val="24"/>
        </w:rPr>
        <w:t>contain</w:t>
      </w:r>
      <w:r w:rsidR="009219F3">
        <w:rPr>
          <w:rFonts w:ascii="Arial" w:hAnsi="Arial" w:cs="Arial"/>
          <w:sz w:val="24"/>
          <w:szCs w:val="24"/>
        </w:rPr>
        <w:t>,</w:t>
      </w:r>
      <w:r w:rsidR="00A323FC">
        <w:rPr>
          <w:rFonts w:ascii="Arial" w:hAnsi="Arial" w:cs="Arial"/>
          <w:sz w:val="24"/>
          <w:szCs w:val="24"/>
        </w:rPr>
        <w:t xml:space="preserve"> the following sections:</w:t>
      </w:r>
    </w:p>
    <w:p w14:paraId="217F7DEB" w14:textId="77777777" w:rsidR="00A323FC" w:rsidRPr="00A323FC" w:rsidRDefault="00A323FC" w:rsidP="003F4AA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6C8C9613" w14:textId="3EDF5863" w:rsidR="00A323FC" w:rsidRDefault="007F6856" w:rsidP="003F4AA1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A323FC">
        <w:rPr>
          <w:rFonts w:ascii="Arial" w:hAnsi="Arial" w:cs="Arial"/>
          <w:sz w:val="24"/>
          <w:szCs w:val="24"/>
        </w:rPr>
        <w:t>Chairman</w:t>
      </w:r>
      <w:r w:rsidR="00A323FC">
        <w:rPr>
          <w:rFonts w:ascii="Arial" w:hAnsi="Arial" w:cs="Arial"/>
          <w:sz w:val="24"/>
          <w:szCs w:val="24"/>
        </w:rPr>
        <w:t>’s</w:t>
      </w:r>
      <w:r w:rsidRPr="00A323FC">
        <w:rPr>
          <w:rFonts w:ascii="Arial" w:hAnsi="Arial" w:cs="Arial"/>
          <w:sz w:val="24"/>
          <w:szCs w:val="24"/>
        </w:rPr>
        <w:t xml:space="preserve"> report</w:t>
      </w:r>
      <w:r w:rsidR="00A323FC">
        <w:rPr>
          <w:rFonts w:ascii="Arial" w:hAnsi="Arial" w:cs="Arial"/>
          <w:sz w:val="24"/>
          <w:szCs w:val="24"/>
        </w:rPr>
        <w:t>.</w:t>
      </w:r>
      <w:r w:rsidRPr="00A323FC">
        <w:rPr>
          <w:rFonts w:ascii="Arial" w:hAnsi="Arial" w:cs="Arial"/>
          <w:sz w:val="24"/>
          <w:szCs w:val="24"/>
        </w:rPr>
        <w:t xml:space="preserve"> </w:t>
      </w:r>
    </w:p>
    <w:p w14:paraId="0451DD95" w14:textId="77777777" w:rsidR="00A323FC" w:rsidRDefault="00A323FC" w:rsidP="003F4AA1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Ports p</w:t>
      </w:r>
      <w:r w:rsidR="007F6856" w:rsidRPr="00A323FC">
        <w:rPr>
          <w:rFonts w:ascii="Arial" w:hAnsi="Arial" w:cs="Arial"/>
          <w:sz w:val="24"/>
          <w:szCs w:val="24"/>
        </w:rPr>
        <w:t>lan for future</w:t>
      </w:r>
      <w:r>
        <w:rPr>
          <w:rFonts w:ascii="Arial" w:hAnsi="Arial" w:cs="Arial"/>
          <w:sz w:val="24"/>
          <w:szCs w:val="24"/>
        </w:rPr>
        <w:t xml:space="preserve"> / Master Plan / </w:t>
      </w:r>
      <w:proofErr w:type="gramStart"/>
      <w:r>
        <w:rPr>
          <w:rFonts w:ascii="Arial" w:hAnsi="Arial" w:cs="Arial"/>
          <w:sz w:val="24"/>
          <w:szCs w:val="24"/>
        </w:rPr>
        <w:t>10 year</w:t>
      </w:r>
      <w:proofErr w:type="gramEnd"/>
      <w:r>
        <w:rPr>
          <w:rFonts w:ascii="Arial" w:hAnsi="Arial" w:cs="Arial"/>
          <w:sz w:val="24"/>
          <w:szCs w:val="24"/>
        </w:rPr>
        <w:t xml:space="preserve"> plan. </w:t>
      </w:r>
      <w:r w:rsidR="007F6856" w:rsidRPr="00A323FC">
        <w:rPr>
          <w:rFonts w:ascii="Arial" w:hAnsi="Arial" w:cs="Arial"/>
          <w:sz w:val="24"/>
          <w:szCs w:val="24"/>
        </w:rPr>
        <w:t xml:space="preserve"> </w:t>
      </w:r>
    </w:p>
    <w:p w14:paraId="3B401A32" w14:textId="77777777" w:rsidR="00A323FC" w:rsidRDefault="00A323FC" w:rsidP="003F4AA1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Introduce the </w:t>
      </w:r>
      <w:r w:rsidR="007F6856" w:rsidRPr="00A323FC">
        <w:rPr>
          <w:rFonts w:ascii="Arial" w:hAnsi="Arial" w:cs="Arial"/>
          <w:sz w:val="24"/>
          <w:szCs w:val="24"/>
        </w:rPr>
        <w:t>Commissioners</w:t>
      </w:r>
      <w:r>
        <w:rPr>
          <w:rFonts w:ascii="Arial" w:hAnsi="Arial" w:cs="Arial"/>
          <w:sz w:val="24"/>
          <w:szCs w:val="24"/>
        </w:rPr>
        <w:t xml:space="preserve"> (with pen pictures and bios).</w:t>
      </w:r>
    </w:p>
    <w:p w14:paraId="57F6C670" w14:textId="77777777" w:rsidR="00A323FC" w:rsidRDefault="007F6856" w:rsidP="003F4AA1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A323FC">
        <w:rPr>
          <w:rFonts w:ascii="Arial" w:hAnsi="Arial" w:cs="Arial"/>
          <w:sz w:val="24"/>
          <w:szCs w:val="24"/>
        </w:rPr>
        <w:t xml:space="preserve">Who is the </w:t>
      </w:r>
      <w:r w:rsidR="00A323FC">
        <w:rPr>
          <w:rFonts w:ascii="Arial" w:hAnsi="Arial" w:cs="Arial"/>
          <w:sz w:val="24"/>
          <w:szCs w:val="24"/>
        </w:rPr>
        <w:t>Harbour T</w:t>
      </w:r>
      <w:r w:rsidRPr="00A323FC">
        <w:rPr>
          <w:rFonts w:ascii="Arial" w:hAnsi="Arial" w:cs="Arial"/>
          <w:sz w:val="24"/>
          <w:szCs w:val="24"/>
        </w:rPr>
        <w:t xml:space="preserve">eam </w:t>
      </w:r>
      <w:r w:rsidR="00A323FC">
        <w:rPr>
          <w:rFonts w:ascii="Arial" w:hAnsi="Arial" w:cs="Arial"/>
          <w:sz w:val="24"/>
          <w:szCs w:val="24"/>
        </w:rPr>
        <w:t>(with pen pictures and bios).</w:t>
      </w:r>
    </w:p>
    <w:p w14:paraId="702BD0C8" w14:textId="77777777" w:rsidR="000951AD" w:rsidRDefault="00A323FC" w:rsidP="003F4AA1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F6856" w:rsidRPr="00A323FC">
        <w:rPr>
          <w:rFonts w:ascii="Arial" w:hAnsi="Arial" w:cs="Arial"/>
          <w:sz w:val="24"/>
          <w:szCs w:val="24"/>
        </w:rPr>
        <w:t xml:space="preserve">Harbour Users Group </w:t>
      </w:r>
      <w:r w:rsidR="000951A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structure</w:t>
      </w:r>
      <w:r w:rsidR="000951A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951AD">
        <w:rPr>
          <w:rFonts w:ascii="Arial" w:hAnsi="Arial" w:cs="Arial"/>
          <w:sz w:val="24"/>
          <w:szCs w:val="24"/>
        </w:rPr>
        <w:t>meetings</w:t>
      </w:r>
      <w:proofErr w:type="gramEnd"/>
      <w:r w:rsidR="000951AD">
        <w:rPr>
          <w:rFonts w:ascii="Arial" w:hAnsi="Arial" w:cs="Arial"/>
          <w:sz w:val="24"/>
          <w:szCs w:val="24"/>
        </w:rPr>
        <w:t xml:space="preserve"> and Chair.</w:t>
      </w:r>
    </w:p>
    <w:p w14:paraId="49D68BE5" w14:textId="77777777" w:rsidR="000951AD" w:rsidRDefault="007F6856" w:rsidP="003F4AA1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0951AD">
        <w:rPr>
          <w:rFonts w:ascii="Arial" w:hAnsi="Arial" w:cs="Arial"/>
          <w:sz w:val="24"/>
          <w:szCs w:val="24"/>
        </w:rPr>
        <w:t xml:space="preserve">Independent Auditors </w:t>
      </w:r>
      <w:r w:rsidR="000951AD">
        <w:rPr>
          <w:rFonts w:ascii="Arial" w:hAnsi="Arial" w:cs="Arial"/>
          <w:sz w:val="24"/>
          <w:szCs w:val="24"/>
        </w:rPr>
        <w:t>Financial R</w:t>
      </w:r>
      <w:r w:rsidRPr="000951AD">
        <w:rPr>
          <w:rFonts w:ascii="Arial" w:hAnsi="Arial" w:cs="Arial"/>
          <w:sz w:val="24"/>
          <w:szCs w:val="24"/>
        </w:rPr>
        <w:t>eport</w:t>
      </w:r>
      <w:r w:rsidR="000951AD">
        <w:rPr>
          <w:rFonts w:ascii="Arial" w:hAnsi="Arial" w:cs="Arial"/>
          <w:sz w:val="24"/>
          <w:szCs w:val="24"/>
        </w:rPr>
        <w:t>.</w:t>
      </w:r>
      <w:r w:rsidRPr="000951AD">
        <w:rPr>
          <w:rFonts w:ascii="Arial" w:hAnsi="Arial" w:cs="Arial"/>
          <w:sz w:val="24"/>
          <w:szCs w:val="24"/>
        </w:rPr>
        <w:t xml:space="preserve"> </w:t>
      </w:r>
    </w:p>
    <w:p w14:paraId="0FA8A1E9" w14:textId="2A14AAA3" w:rsidR="007F6856" w:rsidRPr="000951AD" w:rsidRDefault="000951AD" w:rsidP="003F4AA1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Ports </w:t>
      </w:r>
      <w:r w:rsidR="007F6856" w:rsidRPr="000951AD">
        <w:rPr>
          <w:rFonts w:ascii="Arial" w:hAnsi="Arial" w:cs="Arial"/>
          <w:sz w:val="24"/>
          <w:szCs w:val="24"/>
        </w:rPr>
        <w:t xml:space="preserve">Profit and Loss </w:t>
      </w:r>
      <w:r>
        <w:rPr>
          <w:rFonts w:ascii="Arial" w:hAnsi="Arial" w:cs="Arial"/>
          <w:sz w:val="24"/>
          <w:szCs w:val="24"/>
        </w:rPr>
        <w:t xml:space="preserve">for the Year. </w:t>
      </w:r>
    </w:p>
    <w:sectPr w:rsidR="007F6856" w:rsidRPr="000951AD" w:rsidSect="00B768C7">
      <w:headerReference w:type="default" r:id="rId12"/>
      <w:footerReference w:type="default" r:id="rId13"/>
      <w:pgSz w:w="11906" w:h="16838"/>
      <w:pgMar w:top="1631" w:right="1274" w:bottom="993" w:left="1701" w:header="570" w:footer="633" w:gutter="0"/>
      <w:pgBorders w:offsetFrom="page">
        <w:top w:val="single" w:sz="24" w:space="24" w:color="8DB3E2" w:themeColor="text2" w:themeTint="66"/>
        <w:left w:val="single" w:sz="24" w:space="24" w:color="8DB3E2" w:themeColor="text2" w:themeTint="66"/>
        <w:bottom w:val="single" w:sz="24" w:space="24" w:color="8DB3E2" w:themeColor="text2" w:themeTint="66"/>
        <w:right w:val="single" w:sz="2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D93EB" w14:textId="77777777" w:rsidR="00AA51BD" w:rsidRDefault="00AA51BD" w:rsidP="00FC7743">
      <w:r>
        <w:separator/>
      </w:r>
    </w:p>
  </w:endnote>
  <w:endnote w:type="continuationSeparator" w:id="0">
    <w:p w14:paraId="5191A58E" w14:textId="77777777" w:rsidR="00AA51BD" w:rsidRDefault="00AA51BD" w:rsidP="00FC7743">
      <w:r>
        <w:continuationSeparator/>
      </w:r>
    </w:p>
  </w:endnote>
  <w:endnote w:type="continuationNotice" w:id="1">
    <w:p w14:paraId="37A56DF7" w14:textId="77777777" w:rsidR="00AA51BD" w:rsidRDefault="00AA51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614445"/>
      <w:docPartObj>
        <w:docPartGallery w:val="Page Numbers (Bottom of Page)"/>
        <w:docPartUnique/>
      </w:docPartObj>
    </w:sdtPr>
    <w:sdtContent>
      <w:sdt>
        <w:sdtPr>
          <w:id w:val="918908325"/>
          <w:docPartObj>
            <w:docPartGallery w:val="Page Numbers (Top of Page)"/>
            <w:docPartUnique/>
          </w:docPartObj>
        </w:sdtPr>
        <w:sdtContent>
          <w:p w14:paraId="6EFF6D32" w14:textId="308C7BCC" w:rsidR="00F85D1E" w:rsidRDefault="00B80F9C" w:rsidP="00B80F9C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  <w:r>
              <w:rPr>
                <w:rFonts w:ascii="Arial Rounded MT Bold" w:hAnsi="Arial Rounded MT Bold" w:cs="Tahoma"/>
                <w:color w:val="002060"/>
              </w:rPr>
              <w:t>P</w:t>
            </w:r>
            <w:r w:rsidR="00F85D1E" w:rsidRPr="002A3688">
              <w:rPr>
                <w:rFonts w:ascii="Arial Rounded MT Bold" w:hAnsi="Arial Rounded MT Bold" w:cs="Tahoma"/>
                <w:color w:val="002060"/>
              </w:rPr>
              <w:t xml:space="preserve">age </w:t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instrText xml:space="preserve"> PAGE </w:instrText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1</w:t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 w:rsidR="00F85D1E" w:rsidRPr="002A3688">
              <w:rPr>
                <w:rFonts w:ascii="Arial Rounded MT Bold" w:hAnsi="Arial Rounded MT Bold" w:cs="Tahoma"/>
                <w:color w:val="002060"/>
              </w:rPr>
              <w:t xml:space="preserve"> of </w:t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instrText xml:space="preserve"> NUMPAGES  </w:instrText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2</w:t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 w:rsidR="00F85D1E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t xml:space="preserve">             </w:t>
            </w:r>
            <w:r w:rsidR="002E4E53">
              <w:rPr>
                <w:rFonts w:ascii="Arial Rounded MT Bold" w:hAnsi="Arial Rounded MT Bold" w:cs="Tahoma"/>
                <w:bCs/>
                <w:color w:val="002060"/>
              </w:rPr>
              <w:tab/>
            </w:r>
            <w:r w:rsidR="00A35539">
              <w:rPr>
                <w:rFonts w:ascii="Arial Rounded MT Bold" w:hAnsi="Arial Rounded MT Bold" w:cs="Tahoma"/>
                <w:bCs/>
                <w:color w:val="002060"/>
              </w:rPr>
              <w:t xml:space="preserve">North Sunderland Harbour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 xml:space="preserve">SMS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Section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>1</w:t>
            </w:r>
            <w:r w:rsidR="0017553E">
              <w:rPr>
                <w:rFonts w:ascii="Arial Rounded MT Bold" w:hAnsi="Arial Rounded MT Bold" w:cs="Tahoma"/>
                <w:bCs/>
                <w:color w:val="002060"/>
              </w:rPr>
              <w:t>6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>Version 1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ab/>
            </w:r>
          </w:p>
          <w:p w14:paraId="64475C27" w14:textId="77777777" w:rsidR="00B80F9C" w:rsidRDefault="00B80F9C" w:rsidP="00B80F9C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</w:p>
          <w:p w14:paraId="31DC77FA" w14:textId="7FDEC634" w:rsidR="00B80F9C" w:rsidRDefault="00B80F9C" w:rsidP="00B80F9C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  <w:r w:rsidRPr="00B80F9C">
              <w:rPr>
                <w:rFonts w:ascii="Arial Rounded MT Bold" w:hAnsi="Arial Rounded MT Bold" w:cs="Tahoma"/>
                <w:bCs/>
                <w:color w:val="002060"/>
              </w:rPr>
              <w:t xml:space="preserve">Date: 1st </w:t>
            </w:r>
            <w:r w:rsidR="007F1B99">
              <w:rPr>
                <w:rFonts w:ascii="Arial Rounded MT Bold" w:hAnsi="Arial Rounded MT Bold" w:cs="Tahoma"/>
                <w:bCs/>
                <w:color w:val="002060"/>
              </w:rPr>
              <w:t xml:space="preserve">June </w:t>
            </w:r>
            <w:r w:rsidRPr="00B80F9C">
              <w:rPr>
                <w:rFonts w:ascii="Arial Rounded MT Bold" w:hAnsi="Arial Rounded MT Bold" w:cs="Tahoma"/>
                <w:bCs/>
                <w:color w:val="002060"/>
              </w:rPr>
              <w:t>202</w:t>
            </w:r>
            <w:r w:rsidR="00A35539">
              <w:rPr>
                <w:rFonts w:ascii="Arial Rounded MT Bold" w:hAnsi="Arial Rounded MT Bold" w:cs="Tahoma"/>
                <w:bCs/>
                <w:color w:val="002060"/>
              </w:rPr>
              <w:t>4</w:t>
            </w:r>
          </w:p>
          <w:p w14:paraId="381EC8C9" w14:textId="7C9D4471" w:rsidR="00F85D1E" w:rsidRPr="002A3688" w:rsidRDefault="00F85D1E" w:rsidP="00884542">
            <w:pPr>
              <w:pStyle w:val="Footer"/>
              <w:ind w:right="-589"/>
              <w:jc w:val="center"/>
            </w:pPr>
            <w:r>
              <w:rPr>
                <w:rFonts w:ascii="Arial Rounded MT Bold" w:hAnsi="Arial Rounded MT Bold" w:cs="Tahoma"/>
                <w:bCs/>
                <w:color w:val="002060"/>
              </w:rPr>
              <w:t xml:space="preserve">                                                                                                               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 xml:space="preserve">       </w:t>
            </w:r>
          </w:p>
        </w:sdtContent>
      </w:sdt>
    </w:sdtContent>
  </w:sdt>
  <w:p w14:paraId="381EC8CA" w14:textId="77777777" w:rsidR="00F85D1E" w:rsidRPr="002A3688" w:rsidRDefault="00F85D1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6E4F4" w14:textId="77777777" w:rsidR="00AA51BD" w:rsidRDefault="00AA51BD" w:rsidP="00FC7743">
      <w:r>
        <w:separator/>
      </w:r>
    </w:p>
  </w:footnote>
  <w:footnote w:type="continuationSeparator" w:id="0">
    <w:p w14:paraId="2781F3D3" w14:textId="77777777" w:rsidR="00AA51BD" w:rsidRDefault="00AA51BD" w:rsidP="00FC7743">
      <w:r>
        <w:continuationSeparator/>
      </w:r>
    </w:p>
  </w:footnote>
  <w:footnote w:type="continuationNotice" w:id="1">
    <w:p w14:paraId="52B1E28B" w14:textId="77777777" w:rsidR="00AA51BD" w:rsidRDefault="00AA51BD"/>
  </w:footnote>
  <w:footnote w:id="2">
    <w:p w14:paraId="515D59D6" w14:textId="27FE764E" w:rsidR="00062AB3" w:rsidRDefault="00062A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62AB3">
          <w:rPr>
            <w:rStyle w:val="Hyperlink"/>
          </w:rPr>
          <w:t>https://assets.publishing.service.gov.uk/media/5f63874d8fa8f51069100621/port-marine-safety-code.pdf</w:t>
        </w:r>
      </w:hyperlink>
    </w:p>
  </w:footnote>
  <w:footnote w:id="3">
    <w:p w14:paraId="62D2F581" w14:textId="6AC7ADC3" w:rsidR="00062AB3" w:rsidRDefault="00062A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577D40" w:rsidRPr="00577D40">
          <w:rPr>
            <w:rStyle w:val="Hyperlink"/>
          </w:rPr>
          <w:t>https://assets.publishing.service.gov.uk/media/5f624ee08fa8f510664dc460/ports-good-governance-guidance.pdf</w:t>
        </w:r>
      </w:hyperlink>
    </w:p>
  </w:footnote>
  <w:footnote w:id="4">
    <w:p w14:paraId="3C54999A" w14:textId="76413AF0" w:rsidR="00E26BD7" w:rsidRPr="00E26BD7" w:rsidRDefault="00E26BD7" w:rsidP="00E26BD7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E26BD7">
        <w:rPr>
          <w:rStyle w:val="FootnoteReference"/>
          <w:rFonts w:ascii="Arial" w:hAnsi="Arial" w:cs="Arial"/>
        </w:rPr>
        <w:footnoteRef/>
      </w:r>
      <w:r w:rsidRPr="00E26BD7">
        <w:rPr>
          <w:rFonts w:ascii="Arial" w:hAnsi="Arial" w:cs="Arial"/>
        </w:rPr>
        <w:t xml:space="preserve"> Para 2.18 Ports Good Governance Guidance</w:t>
      </w:r>
    </w:p>
    <w:p w14:paraId="69076B51" w14:textId="14958410" w:rsidR="00E26BD7" w:rsidRDefault="00E26BD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EC8C4" w14:textId="2AAC2344" w:rsidR="00F85D1E" w:rsidRPr="003C0DC7" w:rsidRDefault="00F85D1E" w:rsidP="003C0DC7">
    <w:pPr>
      <w:pStyle w:val="Header"/>
      <w:rPr>
        <w:rFonts w:ascii="Bodoni MT Black" w:hAnsi="Bodoni MT Black"/>
        <w:color w:val="002060"/>
        <w:sz w:val="14"/>
      </w:rPr>
    </w:pPr>
  </w:p>
  <w:p w14:paraId="381EC8C7" w14:textId="28D1B88D" w:rsidR="00F85D1E" w:rsidRPr="002A3688" w:rsidRDefault="00F85D1E" w:rsidP="00E1711D">
    <w:pPr>
      <w:pStyle w:val="Header"/>
      <w:tabs>
        <w:tab w:val="clear" w:pos="9026"/>
        <w:tab w:val="left" w:pos="6005"/>
        <w:tab w:val="right" w:pos="8789"/>
      </w:tabs>
      <w:ind w:right="261" w:hanging="709"/>
      <w:rPr>
        <w:rFonts w:ascii="Arial Rounded MT Bold" w:hAnsi="Arial Rounded MT Bold"/>
        <w:color w:val="002060"/>
      </w:rPr>
    </w:pPr>
    <w:r>
      <w:rPr>
        <w:rFonts w:ascii="Arial Rounded MT Bold" w:hAnsi="Arial Rounded MT Bold"/>
        <w:color w:val="002060"/>
      </w:rPr>
      <w:tab/>
    </w:r>
    <w:r>
      <w:rPr>
        <w:rFonts w:ascii="Arial Rounded MT Bold" w:hAnsi="Arial Rounded MT Bold"/>
        <w:color w:val="002060"/>
      </w:rPr>
      <w:tab/>
    </w:r>
  </w:p>
  <w:p w14:paraId="381EC8C8" w14:textId="10A1D2B1" w:rsidR="00F85D1E" w:rsidRPr="00FC7743" w:rsidRDefault="00F85D1E" w:rsidP="00FC7743">
    <w:pPr>
      <w:pStyle w:val="Header"/>
      <w:ind w:hanging="709"/>
      <w:rPr>
        <w:rFonts w:ascii="Bodoni MT Black" w:hAnsi="Bodoni MT Black"/>
        <w:color w:val="002060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828"/>
    <w:multiLevelType w:val="hybridMultilevel"/>
    <w:tmpl w:val="BF328A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5DD6"/>
    <w:multiLevelType w:val="multilevel"/>
    <w:tmpl w:val="3C1E9D68"/>
    <w:lvl w:ilvl="0">
      <w:start w:val="1"/>
      <w:numFmt w:val="decimal"/>
      <w:lvlText w:val="%1"/>
      <w:lvlJc w:val="left"/>
      <w:pPr>
        <w:ind w:left="352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215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6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83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40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61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38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954" w:hanging="1800"/>
      </w:pPr>
      <w:rPr>
        <w:rFonts w:hint="default"/>
        <w:b/>
      </w:rPr>
    </w:lvl>
  </w:abstractNum>
  <w:abstractNum w:abstractNumId="2" w15:restartNumberingAfterBreak="0">
    <w:nsid w:val="08DF77AD"/>
    <w:multiLevelType w:val="hybridMultilevel"/>
    <w:tmpl w:val="7FB4B69C"/>
    <w:lvl w:ilvl="0" w:tplc="D6DC5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45B2"/>
    <w:multiLevelType w:val="hybridMultilevel"/>
    <w:tmpl w:val="3E1081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78F5"/>
    <w:multiLevelType w:val="hybridMultilevel"/>
    <w:tmpl w:val="842E5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72199"/>
    <w:multiLevelType w:val="hybridMultilevel"/>
    <w:tmpl w:val="4A006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5444B"/>
    <w:multiLevelType w:val="hybridMultilevel"/>
    <w:tmpl w:val="41DAA8D4"/>
    <w:lvl w:ilvl="0" w:tplc="8B4A1E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26235"/>
    <w:multiLevelType w:val="hybridMultilevel"/>
    <w:tmpl w:val="29F40262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415A1"/>
    <w:multiLevelType w:val="hybridMultilevel"/>
    <w:tmpl w:val="105CF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455E8"/>
    <w:multiLevelType w:val="hybridMultilevel"/>
    <w:tmpl w:val="BB02ED10"/>
    <w:lvl w:ilvl="0" w:tplc="72F6D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15C21"/>
    <w:multiLevelType w:val="hybridMultilevel"/>
    <w:tmpl w:val="5C48B53E"/>
    <w:lvl w:ilvl="0" w:tplc="030C4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03DDF"/>
    <w:multiLevelType w:val="hybridMultilevel"/>
    <w:tmpl w:val="DF08BB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96AEA"/>
    <w:multiLevelType w:val="hybridMultilevel"/>
    <w:tmpl w:val="679E8D3A"/>
    <w:lvl w:ilvl="0" w:tplc="94DA1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66D51"/>
    <w:multiLevelType w:val="hybridMultilevel"/>
    <w:tmpl w:val="14E4B9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11354"/>
    <w:multiLevelType w:val="hybridMultilevel"/>
    <w:tmpl w:val="7D28D884"/>
    <w:lvl w:ilvl="0" w:tplc="FFA4D9A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04421"/>
    <w:multiLevelType w:val="hybridMultilevel"/>
    <w:tmpl w:val="24C4F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221D9"/>
    <w:multiLevelType w:val="hybridMultilevel"/>
    <w:tmpl w:val="97CE693A"/>
    <w:lvl w:ilvl="0" w:tplc="622A5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75426"/>
    <w:multiLevelType w:val="hybridMultilevel"/>
    <w:tmpl w:val="E6CA5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562262"/>
    <w:multiLevelType w:val="hybridMultilevel"/>
    <w:tmpl w:val="C20010C2"/>
    <w:lvl w:ilvl="0" w:tplc="6A721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443FB"/>
    <w:multiLevelType w:val="hybridMultilevel"/>
    <w:tmpl w:val="4FC0083E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1544F"/>
    <w:multiLevelType w:val="hybridMultilevel"/>
    <w:tmpl w:val="4C48CDB6"/>
    <w:lvl w:ilvl="0" w:tplc="DFF8D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F17B8"/>
    <w:multiLevelType w:val="hybridMultilevel"/>
    <w:tmpl w:val="68B2D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60C30"/>
    <w:multiLevelType w:val="hybridMultilevel"/>
    <w:tmpl w:val="FF7CC420"/>
    <w:lvl w:ilvl="0" w:tplc="01B6E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949C0"/>
    <w:multiLevelType w:val="hybridMultilevel"/>
    <w:tmpl w:val="1856DF7C"/>
    <w:lvl w:ilvl="0" w:tplc="B4D24C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044BD"/>
    <w:multiLevelType w:val="hybridMultilevel"/>
    <w:tmpl w:val="9584937E"/>
    <w:lvl w:ilvl="0" w:tplc="72F6D9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D06D7"/>
    <w:multiLevelType w:val="hybridMultilevel"/>
    <w:tmpl w:val="225A31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E53CE"/>
    <w:multiLevelType w:val="hybridMultilevel"/>
    <w:tmpl w:val="2D849A86"/>
    <w:lvl w:ilvl="0" w:tplc="C644B4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5A095016"/>
    <w:multiLevelType w:val="hybridMultilevel"/>
    <w:tmpl w:val="392EE4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961FE"/>
    <w:multiLevelType w:val="hybridMultilevel"/>
    <w:tmpl w:val="9D5E8CAE"/>
    <w:lvl w:ilvl="0" w:tplc="6296AD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603233C1"/>
    <w:multiLevelType w:val="hybridMultilevel"/>
    <w:tmpl w:val="322873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17200"/>
    <w:multiLevelType w:val="hybridMultilevel"/>
    <w:tmpl w:val="83AE0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25090"/>
    <w:multiLevelType w:val="hybridMultilevel"/>
    <w:tmpl w:val="1DF0F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646435"/>
    <w:multiLevelType w:val="hybridMultilevel"/>
    <w:tmpl w:val="F55E99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873D1"/>
    <w:multiLevelType w:val="hybridMultilevel"/>
    <w:tmpl w:val="9246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CC176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31C97"/>
    <w:multiLevelType w:val="hybridMultilevel"/>
    <w:tmpl w:val="1076DC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A55D6"/>
    <w:multiLevelType w:val="hybridMultilevel"/>
    <w:tmpl w:val="54BE9920"/>
    <w:lvl w:ilvl="0" w:tplc="835252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2154C"/>
    <w:multiLevelType w:val="hybridMultilevel"/>
    <w:tmpl w:val="3A7AD34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D32F5F"/>
    <w:multiLevelType w:val="hybridMultilevel"/>
    <w:tmpl w:val="698EC98A"/>
    <w:lvl w:ilvl="0" w:tplc="B1627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6153">
    <w:abstractNumId w:val="10"/>
  </w:num>
  <w:num w:numId="2" w16cid:durableId="1510680792">
    <w:abstractNumId w:val="15"/>
  </w:num>
  <w:num w:numId="3" w16cid:durableId="1838695007">
    <w:abstractNumId w:val="34"/>
  </w:num>
  <w:num w:numId="4" w16cid:durableId="361826295">
    <w:abstractNumId w:val="7"/>
  </w:num>
  <w:num w:numId="5" w16cid:durableId="1710253331">
    <w:abstractNumId w:val="19"/>
  </w:num>
  <w:num w:numId="6" w16cid:durableId="1639995115">
    <w:abstractNumId w:val="26"/>
  </w:num>
  <w:num w:numId="7" w16cid:durableId="1877541343">
    <w:abstractNumId w:val="17"/>
  </w:num>
  <w:num w:numId="8" w16cid:durableId="488714340">
    <w:abstractNumId w:val="28"/>
  </w:num>
  <w:num w:numId="9" w16cid:durableId="868949415">
    <w:abstractNumId w:val="31"/>
  </w:num>
  <w:num w:numId="10" w16cid:durableId="1732195170">
    <w:abstractNumId w:val="1"/>
  </w:num>
  <w:num w:numId="11" w16cid:durableId="464396038">
    <w:abstractNumId w:val="33"/>
  </w:num>
  <w:num w:numId="12" w16cid:durableId="580142111">
    <w:abstractNumId w:val="11"/>
  </w:num>
  <w:num w:numId="13" w16cid:durableId="522136064">
    <w:abstractNumId w:val="3"/>
  </w:num>
  <w:num w:numId="14" w16cid:durableId="1005665877">
    <w:abstractNumId w:val="29"/>
  </w:num>
  <w:num w:numId="15" w16cid:durableId="2107143374">
    <w:abstractNumId w:val="27"/>
  </w:num>
  <w:num w:numId="16" w16cid:durableId="1773092657">
    <w:abstractNumId w:val="25"/>
  </w:num>
  <w:num w:numId="17" w16cid:durableId="701518656">
    <w:abstractNumId w:val="32"/>
  </w:num>
  <w:num w:numId="18" w16cid:durableId="499733096">
    <w:abstractNumId w:val="13"/>
  </w:num>
  <w:num w:numId="19" w16cid:durableId="2120835585">
    <w:abstractNumId w:val="0"/>
  </w:num>
  <w:num w:numId="20" w16cid:durableId="570700505">
    <w:abstractNumId w:val="22"/>
  </w:num>
  <w:num w:numId="21" w16cid:durableId="495733960">
    <w:abstractNumId w:val="36"/>
  </w:num>
  <w:num w:numId="22" w16cid:durableId="1004165086">
    <w:abstractNumId w:val="2"/>
  </w:num>
  <w:num w:numId="23" w16cid:durableId="442307136">
    <w:abstractNumId w:val="37"/>
  </w:num>
  <w:num w:numId="24" w16cid:durableId="136996266">
    <w:abstractNumId w:val="12"/>
  </w:num>
  <w:num w:numId="25" w16cid:durableId="1250964493">
    <w:abstractNumId w:val="6"/>
  </w:num>
  <w:num w:numId="26" w16cid:durableId="1507867078">
    <w:abstractNumId w:val="23"/>
  </w:num>
  <w:num w:numId="27" w16cid:durableId="497691209">
    <w:abstractNumId w:val="24"/>
  </w:num>
  <w:num w:numId="28" w16cid:durableId="516432088">
    <w:abstractNumId w:val="9"/>
  </w:num>
  <w:num w:numId="29" w16cid:durableId="1123960750">
    <w:abstractNumId w:val="8"/>
  </w:num>
  <w:num w:numId="30" w16cid:durableId="1177230931">
    <w:abstractNumId w:val="14"/>
  </w:num>
  <w:num w:numId="31" w16cid:durableId="281691736">
    <w:abstractNumId w:val="21"/>
  </w:num>
  <w:num w:numId="32" w16cid:durableId="1651859692">
    <w:abstractNumId w:val="5"/>
  </w:num>
  <w:num w:numId="33" w16cid:durableId="2057509757">
    <w:abstractNumId w:val="35"/>
  </w:num>
  <w:num w:numId="34" w16cid:durableId="840193142">
    <w:abstractNumId w:val="4"/>
  </w:num>
  <w:num w:numId="35" w16cid:durableId="891234568">
    <w:abstractNumId w:val="18"/>
  </w:num>
  <w:num w:numId="36" w16cid:durableId="867715315">
    <w:abstractNumId w:val="30"/>
  </w:num>
  <w:num w:numId="37" w16cid:durableId="751122700">
    <w:abstractNumId w:val="20"/>
  </w:num>
  <w:num w:numId="38" w16cid:durableId="1989762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43"/>
    <w:rsid w:val="00004E7E"/>
    <w:rsid w:val="0000566F"/>
    <w:rsid w:val="00032CFD"/>
    <w:rsid w:val="000478D5"/>
    <w:rsid w:val="000563CA"/>
    <w:rsid w:val="00062AB3"/>
    <w:rsid w:val="000951AD"/>
    <w:rsid w:val="000B39FD"/>
    <w:rsid w:val="000C241D"/>
    <w:rsid w:val="000D3047"/>
    <w:rsid w:val="000E05CE"/>
    <w:rsid w:val="000E0FEF"/>
    <w:rsid w:val="00105B94"/>
    <w:rsid w:val="00111688"/>
    <w:rsid w:val="00117860"/>
    <w:rsid w:val="0012368F"/>
    <w:rsid w:val="00132D83"/>
    <w:rsid w:val="0017553E"/>
    <w:rsid w:val="001763E3"/>
    <w:rsid w:val="00194DAA"/>
    <w:rsid w:val="001A0961"/>
    <w:rsid w:val="001A25F7"/>
    <w:rsid w:val="001B6205"/>
    <w:rsid w:val="001C4A3E"/>
    <w:rsid w:val="001D2760"/>
    <w:rsid w:val="001E5E49"/>
    <w:rsid w:val="001E7BB6"/>
    <w:rsid w:val="001F3A76"/>
    <w:rsid w:val="00212451"/>
    <w:rsid w:val="00225D9D"/>
    <w:rsid w:val="002268BC"/>
    <w:rsid w:val="002409C0"/>
    <w:rsid w:val="0026201E"/>
    <w:rsid w:val="00266FBA"/>
    <w:rsid w:val="00280CAB"/>
    <w:rsid w:val="00281C44"/>
    <w:rsid w:val="002828DB"/>
    <w:rsid w:val="00287997"/>
    <w:rsid w:val="00293BFF"/>
    <w:rsid w:val="002A3688"/>
    <w:rsid w:val="002B7F0F"/>
    <w:rsid w:val="002C2567"/>
    <w:rsid w:val="002E4BE0"/>
    <w:rsid w:val="002E4E53"/>
    <w:rsid w:val="002F5050"/>
    <w:rsid w:val="00303010"/>
    <w:rsid w:val="00303B2D"/>
    <w:rsid w:val="0030472B"/>
    <w:rsid w:val="00307E01"/>
    <w:rsid w:val="003134E2"/>
    <w:rsid w:val="003136D7"/>
    <w:rsid w:val="00317BB1"/>
    <w:rsid w:val="003209A8"/>
    <w:rsid w:val="003314C5"/>
    <w:rsid w:val="003361ED"/>
    <w:rsid w:val="0033699F"/>
    <w:rsid w:val="00347416"/>
    <w:rsid w:val="0035581A"/>
    <w:rsid w:val="00356AFD"/>
    <w:rsid w:val="00357691"/>
    <w:rsid w:val="00391FA1"/>
    <w:rsid w:val="00394DEF"/>
    <w:rsid w:val="003970B0"/>
    <w:rsid w:val="003C0DC7"/>
    <w:rsid w:val="003C7E43"/>
    <w:rsid w:val="003D4285"/>
    <w:rsid w:val="003E7133"/>
    <w:rsid w:val="003F4AA1"/>
    <w:rsid w:val="004129AB"/>
    <w:rsid w:val="00416784"/>
    <w:rsid w:val="00426220"/>
    <w:rsid w:val="004318EB"/>
    <w:rsid w:val="0043361C"/>
    <w:rsid w:val="00445E16"/>
    <w:rsid w:val="00446B5D"/>
    <w:rsid w:val="004610FF"/>
    <w:rsid w:val="0046191A"/>
    <w:rsid w:val="00477594"/>
    <w:rsid w:val="00480018"/>
    <w:rsid w:val="004A6F93"/>
    <w:rsid w:val="004C5F29"/>
    <w:rsid w:val="004E00C7"/>
    <w:rsid w:val="004E4218"/>
    <w:rsid w:val="004F3A1C"/>
    <w:rsid w:val="00504A06"/>
    <w:rsid w:val="00510D96"/>
    <w:rsid w:val="005230B6"/>
    <w:rsid w:val="00524D1B"/>
    <w:rsid w:val="0052566D"/>
    <w:rsid w:val="00525FFC"/>
    <w:rsid w:val="00547231"/>
    <w:rsid w:val="00552700"/>
    <w:rsid w:val="00566D62"/>
    <w:rsid w:val="00577D40"/>
    <w:rsid w:val="00584EEB"/>
    <w:rsid w:val="005920F7"/>
    <w:rsid w:val="00592193"/>
    <w:rsid w:val="0059287F"/>
    <w:rsid w:val="00593DCC"/>
    <w:rsid w:val="0059532F"/>
    <w:rsid w:val="00595EFA"/>
    <w:rsid w:val="005B1601"/>
    <w:rsid w:val="005C120A"/>
    <w:rsid w:val="005C30BB"/>
    <w:rsid w:val="005C319B"/>
    <w:rsid w:val="005D3E61"/>
    <w:rsid w:val="005E4676"/>
    <w:rsid w:val="005E46FE"/>
    <w:rsid w:val="005E5031"/>
    <w:rsid w:val="005F166D"/>
    <w:rsid w:val="005F40F7"/>
    <w:rsid w:val="00607FBF"/>
    <w:rsid w:val="00620ED0"/>
    <w:rsid w:val="00622309"/>
    <w:rsid w:val="006326F6"/>
    <w:rsid w:val="0063525B"/>
    <w:rsid w:val="006352AA"/>
    <w:rsid w:val="00642DC4"/>
    <w:rsid w:val="00654F38"/>
    <w:rsid w:val="00677520"/>
    <w:rsid w:val="006855DF"/>
    <w:rsid w:val="00686D1B"/>
    <w:rsid w:val="006874C9"/>
    <w:rsid w:val="00691791"/>
    <w:rsid w:val="00695188"/>
    <w:rsid w:val="00695B23"/>
    <w:rsid w:val="006A28FD"/>
    <w:rsid w:val="006B20DD"/>
    <w:rsid w:val="006B6A40"/>
    <w:rsid w:val="006B7721"/>
    <w:rsid w:val="006C28FF"/>
    <w:rsid w:val="006D76CF"/>
    <w:rsid w:val="006D7A6F"/>
    <w:rsid w:val="006E01BD"/>
    <w:rsid w:val="006E0B48"/>
    <w:rsid w:val="006E3FA8"/>
    <w:rsid w:val="006E4879"/>
    <w:rsid w:val="006E4B51"/>
    <w:rsid w:val="006E579A"/>
    <w:rsid w:val="007020EB"/>
    <w:rsid w:val="0070609D"/>
    <w:rsid w:val="007215AB"/>
    <w:rsid w:val="00727E6B"/>
    <w:rsid w:val="007400CD"/>
    <w:rsid w:val="0074754B"/>
    <w:rsid w:val="00753D8B"/>
    <w:rsid w:val="00763D95"/>
    <w:rsid w:val="00771DB7"/>
    <w:rsid w:val="00772DCE"/>
    <w:rsid w:val="007806F1"/>
    <w:rsid w:val="007865C6"/>
    <w:rsid w:val="00792317"/>
    <w:rsid w:val="007B2968"/>
    <w:rsid w:val="007B69B3"/>
    <w:rsid w:val="007C3214"/>
    <w:rsid w:val="007C6637"/>
    <w:rsid w:val="007C68C9"/>
    <w:rsid w:val="007D01FB"/>
    <w:rsid w:val="007D6CBC"/>
    <w:rsid w:val="007D78DA"/>
    <w:rsid w:val="007F05F5"/>
    <w:rsid w:val="007F1B99"/>
    <w:rsid w:val="007F5407"/>
    <w:rsid w:val="007F6856"/>
    <w:rsid w:val="007F68DB"/>
    <w:rsid w:val="007F77B1"/>
    <w:rsid w:val="00802E07"/>
    <w:rsid w:val="0080315B"/>
    <w:rsid w:val="00804195"/>
    <w:rsid w:val="008062CB"/>
    <w:rsid w:val="008120F1"/>
    <w:rsid w:val="00852DF0"/>
    <w:rsid w:val="00857931"/>
    <w:rsid w:val="00861CFB"/>
    <w:rsid w:val="00871355"/>
    <w:rsid w:val="00880B14"/>
    <w:rsid w:val="00884542"/>
    <w:rsid w:val="0089295D"/>
    <w:rsid w:val="0089323B"/>
    <w:rsid w:val="008943B9"/>
    <w:rsid w:val="0089688D"/>
    <w:rsid w:val="00897456"/>
    <w:rsid w:val="008A3FFE"/>
    <w:rsid w:val="008A5C39"/>
    <w:rsid w:val="008B4C88"/>
    <w:rsid w:val="008C18A6"/>
    <w:rsid w:val="008D0D42"/>
    <w:rsid w:val="008E2BE0"/>
    <w:rsid w:val="008E2F15"/>
    <w:rsid w:val="008E642B"/>
    <w:rsid w:val="008F04D1"/>
    <w:rsid w:val="008F760E"/>
    <w:rsid w:val="00900553"/>
    <w:rsid w:val="009130B9"/>
    <w:rsid w:val="009219F3"/>
    <w:rsid w:val="009347FA"/>
    <w:rsid w:val="00943016"/>
    <w:rsid w:val="0094594D"/>
    <w:rsid w:val="00951371"/>
    <w:rsid w:val="009521F0"/>
    <w:rsid w:val="00953524"/>
    <w:rsid w:val="009542E9"/>
    <w:rsid w:val="00971EBC"/>
    <w:rsid w:val="00990B4D"/>
    <w:rsid w:val="009A2A3F"/>
    <w:rsid w:val="009A3C8D"/>
    <w:rsid w:val="009A69CB"/>
    <w:rsid w:val="009B4B85"/>
    <w:rsid w:val="009D0060"/>
    <w:rsid w:val="009D3D27"/>
    <w:rsid w:val="009D5835"/>
    <w:rsid w:val="009F5F4D"/>
    <w:rsid w:val="00A00B76"/>
    <w:rsid w:val="00A23279"/>
    <w:rsid w:val="00A23789"/>
    <w:rsid w:val="00A24644"/>
    <w:rsid w:val="00A313E7"/>
    <w:rsid w:val="00A323FC"/>
    <w:rsid w:val="00A35539"/>
    <w:rsid w:val="00A60BBC"/>
    <w:rsid w:val="00A70CE3"/>
    <w:rsid w:val="00A86141"/>
    <w:rsid w:val="00AA232A"/>
    <w:rsid w:val="00AA51BD"/>
    <w:rsid w:val="00AA7B70"/>
    <w:rsid w:val="00AB1F07"/>
    <w:rsid w:val="00AC2A1B"/>
    <w:rsid w:val="00AC6699"/>
    <w:rsid w:val="00AD0D82"/>
    <w:rsid w:val="00AD1425"/>
    <w:rsid w:val="00AD339C"/>
    <w:rsid w:val="00AD5B15"/>
    <w:rsid w:val="00AF040F"/>
    <w:rsid w:val="00AF6CA0"/>
    <w:rsid w:val="00B114B6"/>
    <w:rsid w:val="00B15BCA"/>
    <w:rsid w:val="00B355EA"/>
    <w:rsid w:val="00B35BAC"/>
    <w:rsid w:val="00B41E9E"/>
    <w:rsid w:val="00B50804"/>
    <w:rsid w:val="00B53B21"/>
    <w:rsid w:val="00B6405E"/>
    <w:rsid w:val="00B751E6"/>
    <w:rsid w:val="00B768C7"/>
    <w:rsid w:val="00B80F9C"/>
    <w:rsid w:val="00B92741"/>
    <w:rsid w:val="00BD1150"/>
    <w:rsid w:val="00BD5A8E"/>
    <w:rsid w:val="00BD7B87"/>
    <w:rsid w:val="00BE0D6C"/>
    <w:rsid w:val="00BE43F8"/>
    <w:rsid w:val="00BF4348"/>
    <w:rsid w:val="00C018CA"/>
    <w:rsid w:val="00C16F5D"/>
    <w:rsid w:val="00C30302"/>
    <w:rsid w:val="00C574E6"/>
    <w:rsid w:val="00C758C2"/>
    <w:rsid w:val="00C83771"/>
    <w:rsid w:val="00C866FA"/>
    <w:rsid w:val="00C86899"/>
    <w:rsid w:val="00C87193"/>
    <w:rsid w:val="00C93938"/>
    <w:rsid w:val="00C94BB5"/>
    <w:rsid w:val="00C965F0"/>
    <w:rsid w:val="00CA1DFD"/>
    <w:rsid w:val="00CD3D8C"/>
    <w:rsid w:val="00CE1746"/>
    <w:rsid w:val="00CE7A2D"/>
    <w:rsid w:val="00CF3962"/>
    <w:rsid w:val="00D05DC5"/>
    <w:rsid w:val="00D070FC"/>
    <w:rsid w:val="00D12EF7"/>
    <w:rsid w:val="00D13878"/>
    <w:rsid w:val="00D2001E"/>
    <w:rsid w:val="00D3320C"/>
    <w:rsid w:val="00D344C3"/>
    <w:rsid w:val="00D36D71"/>
    <w:rsid w:val="00D45775"/>
    <w:rsid w:val="00D458CB"/>
    <w:rsid w:val="00D50691"/>
    <w:rsid w:val="00D55805"/>
    <w:rsid w:val="00D9233E"/>
    <w:rsid w:val="00D97FC3"/>
    <w:rsid w:val="00DB0142"/>
    <w:rsid w:val="00DD3A1A"/>
    <w:rsid w:val="00DD6AD0"/>
    <w:rsid w:val="00DF034A"/>
    <w:rsid w:val="00DF31F6"/>
    <w:rsid w:val="00DF50D9"/>
    <w:rsid w:val="00DF7667"/>
    <w:rsid w:val="00DF79D5"/>
    <w:rsid w:val="00E1711D"/>
    <w:rsid w:val="00E26BD7"/>
    <w:rsid w:val="00E336CF"/>
    <w:rsid w:val="00E55AD4"/>
    <w:rsid w:val="00E61E0A"/>
    <w:rsid w:val="00E80764"/>
    <w:rsid w:val="00E82C4E"/>
    <w:rsid w:val="00E8341E"/>
    <w:rsid w:val="00EA077D"/>
    <w:rsid w:val="00EA3B86"/>
    <w:rsid w:val="00EB191F"/>
    <w:rsid w:val="00EB1E30"/>
    <w:rsid w:val="00EB5AA4"/>
    <w:rsid w:val="00EB71A8"/>
    <w:rsid w:val="00ED0836"/>
    <w:rsid w:val="00ED3686"/>
    <w:rsid w:val="00ED464B"/>
    <w:rsid w:val="00EE783A"/>
    <w:rsid w:val="00EF4393"/>
    <w:rsid w:val="00F0397C"/>
    <w:rsid w:val="00F04CC7"/>
    <w:rsid w:val="00F21282"/>
    <w:rsid w:val="00F2484C"/>
    <w:rsid w:val="00F470CD"/>
    <w:rsid w:val="00F52624"/>
    <w:rsid w:val="00F54C1E"/>
    <w:rsid w:val="00F67422"/>
    <w:rsid w:val="00F7174E"/>
    <w:rsid w:val="00F85D1E"/>
    <w:rsid w:val="00F865A4"/>
    <w:rsid w:val="00F902AD"/>
    <w:rsid w:val="00FB5BA9"/>
    <w:rsid w:val="00FC7743"/>
    <w:rsid w:val="00FD2CE3"/>
    <w:rsid w:val="00FD647A"/>
    <w:rsid w:val="00FE7BF7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EC897"/>
  <w15:docId w15:val="{86CFFF7F-215B-467D-AB6D-0A98BD07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016"/>
    <w:pPr>
      <w:keepNext/>
      <w:keepLines/>
      <w:spacing w:before="240"/>
      <w:outlineLvl w:val="0"/>
    </w:pPr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5A4"/>
    <w:pPr>
      <w:keepNext/>
      <w:keepLines/>
      <w:spacing w:before="40"/>
      <w:outlineLvl w:val="1"/>
    </w:pPr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743"/>
  </w:style>
  <w:style w:type="paragraph" w:styleId="Footer">
    <w:name w:val="footer"/>
    <w:basedOn w:val="Normal"/>
    <w:link w:val="Foot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743"/>
  </w:style>
  <w:style w:type="paragraph" w:styleId="BalloonText">
    <w:name w:val="Balloon Text"/>
    <w:basedOn w:val="Normal"/>
    <w:link w:val="BalloonTextChar"/>
    <w:uiPriority w:val="99"/>
    <w:semiHidden/>
    <w:unhideWhenUsed/>
    <w:rsid w:val="00FC7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4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8454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4542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nhideWhenUsed/>
    <w:rsid w:val="006E48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D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66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43016"/>
    <w:rPr>
      <w:rFonts w:ascii="Arial" w:eastAsiaTheme="majorEastAsia" w:hAnsi="Arial" w:cstheme="majorBidi"/>
      <w:color w:val="365F91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5A4"/>
    <w:rPr>
      <w:rFonts w:ascii="Arial" w:eastAsiaTheme="majorEastAsia" w:hAnsi="Arial" w:cstheme="majorBidi"/>
      <w:color w:val="365F91" w:themeColor="accent1" w:themeShade="BF"/>
      <w:sz w:val="26"/>
      <w:szCs w:val="26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317BB1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754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54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4754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268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7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1A8"/>
  </w:style>
  <w:style w:type="character" w:customStyle="1" w:styleId="CommentTextChar">
    <w:name w:val="Comment Text Char"/>
    <w:basedOn w:val="DefaultParagraphFont"/>
    <w:link w:val="CommentText"/>
    <w:uiPriority w:val="99"/>
    <w:rsid w:val="00EB71A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1A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ssets.publishing.service.gov.uk/media/5f624ee08fa8f510664dc460/ports-good-governance-guidance.pdf" TargetMode="External"/><Relationship Id="rId1" Type="http://schemas.openxmlformats.org/officeDocument/2006/relationships/hyperlink" Target="https://assets.publishing.service.gov.uk/media/5f63874d8fa8f51069100621/port-marine-safety-co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fe28ca77-8b9c-4c6f-bae7-1566e9ee02cc" xsi:nil="true"/>
    <lcf76f155ced4ddcb4097134ff3c332f xmlns="acd3032c-905b-4bb8-92b0-806485e1d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53F411968A419B6C746728E43A7F" ma:contentTypeVersion="13" ma:contentTypeDescription="Create a new document." ma:contentTypeScope="" ma:versionID="87b852edb119a2350f7c4c849ae68e22">
  <xsd:schema xmlns:xsd="http://www.w3.org/2001/XMLSchema" xmlns:xs="http://www.w3.org/2001/XMLSchema" xmlns:p="http://schemas.microsoft.com/office/2006/metadata/properties" xmlns:ns2="acd3032c-905b-4bb8-92b0-806485e1dfa8" xmlns:ns3="fe28ca77-8b9c-4c6f-bae7-1566e9ee02cc" targetNamespace="http://schemas.microsoft.com/office/2006/metadata/properties" ma:root="true" ma:fieldsID="abadaef78291183033d11e14bd22a926" ns2:_="" ns3:_="">
    <xsd:import namespace="acd3032c-905b-4bb8-92b0-806485e1dfa8"/>
    <xsd:import namespace="fe28ca77-8b9c-4c6f-bae7-1566e9ee02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3032c-905b-4bb8-92b0-806485e1df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1d73b1-a7d2-40d0-9522-4d82f023a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ca77-8b9c-4c6f-bae7-1566e9ee02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21e0a2-fc02-4098-bc85-9957ff8016c8}" ma:internalName="TaxCatchAll" ma:showField="CatchAllData" ma:web="fe28ca77-8b9c-4c6f-bae7-1566e9ee0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AA444-A08B-4CC0-8319-8721EB5E3F49}">
  <ds:schemaRefs>
    <ds:schemaRef ds:uri="http://schemas.microsoft.com/office/2006/metadata/properties"/>
    <ds:schemaRef ds:uri="fe28ca77-8b9c-4c6f-bae7-1566e9ee02cc"/>
    <ds:schemaRef ds:uri="acd3032c-905b-4bb8-92b0-806485e1dfa8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F1E59A-F6C6-494C-87F1-1B707965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3032c-905b-4bb8-92b0-806485e1dfa8"/>
    <ds:schemaRef ds:uri="fe28ca77-8b9c-4c6f-bae7-1566e9ee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E7A10-EEB3-4BDC-BD2F-224674CD43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A40D4A-F5CE-48A3-863E-BA1C031C1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PoDMSC Document Template</vt:lpstr>
    </vt:vector>
  </TitlesOfParts>
  <Company>Port of Dover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PoDMSC Document Template</dc:title>
  <dc:creator>Steven Masters</dc:creator>
  <cp:lastModifiedBy>North Sunderland Harbour Master</cp:lastModifiedBy>
  <cp:revision>7</cp:revision>
  <cp:lastPrinted>2024-05-29T12:13:00Z</cp:lastPrinted>
  <dcterms:created xsi:type="dcterms:W3CDTF">2024-05-29T09:41:00Z</dcterms:created>
  <dcterms:modified xsi:type="dcterms:W3CDTF">2024-05-29T12:13:00Z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0x010100AE5953F411968A419B6C746728E43A7F</vt:lpwstr>
  </property>
  <property fmtid="{D5CDD505-2E9C-101B-9397-08002B2CF9AE}" pid="3" name="DHB Document Keywords">
    <vt:lpwstr>PoDMSC Document Template</vt:lpwstr>
  </property>
  <property fmtid="{D5CDD505-2E9C-101B-9397-08002B2CF9AE}" pid="4" name="DHB Doc Type">
    <vt:lpwstr>Template</vt:lpwstr>
  </property>
  <property fmtid="{D5CDD505-2E9C-101B-9397-08002B2CF9AE}" pid="5" name="MediaServiceImageTags">
    <vt:lpwstr/>
  </property>
</Properties>
</file>