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7B69B3" w:rsidP="007B69B3" w:rsidRDefault="00B60209" w14:paraId="2884D28D" w14:textId="5438DF0A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hAnsiTheme="minorHAnsi" w:eastAsiaTheme="minorHAnsi" w:cstheme="minorHAnsi"/>
          <w:noProof/>
          <w:color w:val="0F265C"/>
          <w:sz w:val="56"/>
          <w:szCs w:val="56"/>
          <w:lang w:eastAsia="en-US"/>
        </w:rPr>
        <w:drawing>
          <wp:inline distT="0" distB="0" distL="0" distR="0" wp14:anchorId="785DBCDE" wp14:editId="20CF8548">
            <wp:extent cx="3383280" cy="3383280"/>
            <wp:effectExtent l="0" t="0" r="7620" b="7620"/>
            <wp:docPr id="1766202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69B3" w:rsidP="007B69B3" w:rsidRDefault="007B69B3" w14:paraId="0A8E358E" w14:textId="77777777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</w:p>
    <w:p w:rsidRPr="007B69B3" w:rsidR="007B69B3" w:rsidP="007B69B3" w:rsidRDefault="00E16972" w14:paraId="60CFC71C" w14:textId="6D9191D5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North Sunderland Harbour</w:t>
      </w:r>
    </w:p>
    <w:p w:rsidRPr="007B69B3" w:rsidR="007B69B3" w:rsidP="007B69B3" w:rsidRDefault="007B69B3" w14:paraId="1E166B2B" w14:textId="77777777">
      <w:pPr>
        <w:tabs>
          <w:tab w:val="center" w:pos="4513"/>
          <w:tab w:val="right" w:pos="7920"/>
          <w:tab w:val="right" w:pos="9026"/>
        </w:tabs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</w:p>
    <w:p w:rsidRPr="007B69B3" w:rsidR="007B69B3" w:rsidP="007B69B3" w:rsidRDefault="007B69B3" w14:paraId="5D1A1CF9" w14:textId="77777777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Safety Management System </w:t>
      </w:r>
    </w:p>
    <w:p w:rsidRPr="007B69B3" w:rsidR="007B69B3" w:rsidP="007B69B3" w:rsidRDefault="007B69B3" w14:paraId="4DD659D1" w14:textId="77777777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</w:p>
    <w:p w:rsidR="007B69B3" w:rsidP="007B69B3" w:rsidRDefault="007B69B3" w14:paraId="4E75DB68" w14:textId="243D5943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Section </w:t>
      </w:r>
      <w:r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3</w:t>
      </w: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  <w:r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–</w:t>
      </w: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  <w:r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Aids to Navigation</w:t>
      </w:r>
    </w:p>
    <w:p w:rsidR="007B69B3" w:rsidRDefault="007B69B3" w14:paraId="60963535" w14:textId="75A44010">
      <w:pPr>
        <w:spacing w:after="200" w:line="276" w:lineRule="auto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br w:type="page"/>
      </w:r>
    </w:p>
    <w:p w:rsidRPr="005868A6" w:rsidR="006352AA" w:rsidP="005868A6" w:rsidRDefault="006352AA" w14:paraId="504DD573" w14:textId="77777777">
      <w:pPr>
        <w:pStyle w:val="Heading1"/>
      </w:pPr>
      <w:r w:rsidRPr="005868A6">
        <w:lastRenderedPageBreak/>
        <w:t>Aids to Navigation</w:t>
      </w:r>
    </w:p>
    <w:p w:rsidRPr="005868A6" w:rsidR="006352AA" w:rsidP="006352AA" w:rsidRDefault="006352AA" w14:paraId="67AC236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-567"/>
        <w:jc w:val="both"/>
        <w:rPr>
          <w:rFonts w:cs="Arial"/>
          <w:szCs w:val="24"/>
        </w:rPr>
      </w:pPr>
    </w:p>
    <w:p w:rsidR="00150826" w:rsidP="00360B96" w:rsidRDefault="00E16972" w14:paraId="1179E257" w14:textId="653A6325">
      <w:r>
        <w:t xml:space="preserve">North Sunderland </w:t>
      </w:r>
      <w:r w:rsidR="00150826">
        <w:t>Harbour</w:t>
      </w:r>
      <w:r>
        <w:t xml:space="preserve"> </w:t>
      </w:r>
      <w:r w:rsidR="00150826">
        <w:t xml:space="preserve">(NSH) is a Local Lighthouse Authority (LLA) and </w:t>
      </w:r>
      <w:r w:rsidR="00D0454A">
        <w:t xml:space="preserve">as such </w:t>
      </w:r>
      <w:r w:rsidR="00150826">
        <w:t xml:space="preserve">has a legally binding duty to monitor, maintain and report the availability of the </w:t>
      </w:r>
      <w:r w:rsidR="00D0454A">
        <w:t>A</w:t>
      </w:r>
      <w:r w:rsidRPr="005868A6" w:rsidR="007B69B3">
        <w:t xml:space="preserve">ids to </w:t>
      </w:r>
      <w:r w:rsidR="00D0454A">
        <w:t>N</w:t>
      </w:r>
      <w:r w:rsidRPr="005868A6" w:rsidR="007B69B3">
        <w:t>avigation</w:t>
      </w:r>
      <w:r w:rsidR="00D0454A">
        <w:t xml:space="preserve"> (AtoNs)</w:t>
      </w:r>
      <w:r w:rsidRPr="005868A6" w:rsidR="007B69B3">
        <w:t xml:space="preserve"> within the physical limits of </w:t>
      </w:r>
      <w:r w:rsidR="00E45C1C">
        <w:t xml:space="preserve">the </w:t>
      </w:r>
      <w:r w:rsidR="00150826">
        <w:t>harbour to Trinity House, the General Lighthouse Authority (GLA) for England</w:t>
      </w:r>
      <w:r w:rsidRPr="005868A6" w:rsidR="007B69B3">
        <w:t>.</w:t>
      </w:r>
    </w:p>
    <w:p w:rsidR="00150826" w:rsidP="00360B96" w:rsidRDefault="00150826" w14:paraId="195FE2A8" w14:textId="77777777"/>
    <w:p w:rsidR="00150826" w:rsidP="00360B96" w:rsidRDefault="00150826" w14:paraId="611BB5AA" w14:textId="46C9B36C">
      <w:r>
        <w:t xml:space="preserve">NSH has </w:t>
      </w:r>
      <w:r w:rsidR="00943A90">
        <w:t>3</w:t>
      </w:r>
      <w:r>
        <w:t xml:space="preserve"> A</w:t>
      </w:r>
      <w:r w:rsidR="00360B96">
        <w:t xml:space="preserve">ids </w:t>
      </w:r>
      <w:r>
        <w:t>to</w:t>
      </w:r>
      <w:r w:rsidR="00360B96">
        <w:t xml:space="preserve"> </w:t>
      </w:r>
      <w:r>
        <w:t>N</w:t>
      </w:r>
      <w:r w:rsidR="00360B96">
        <w:t>avigation</w:t>
      </w:r>
      <w:r>
        <w:t>, these are:</w:t>
      </w:r>
    </w:p>
    <w:p w:rsidR="00150826" w:rsidP="00360B96" w:rsidRDefault="00150826" w14:paraId="69592582" w14:textId="7777777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268"/>
        <w:gridCol w:w="3686"/>
        <w:gridCol w:w="1701"/>
      </w:tblGrid>
      <w:tr w:rsidR="00B115DA" w:rsidTr="00360B96" w14:paraId="65FEBEE4" w14:textId="77777777">
        <w:tc>
          <w:tcPr>
            <w:tcW w:w="1134" w:type="dxa"/>
            <w:shd w:val="clear" w:color="auto" w:fill="C6D9F1" w:themeFill="text2" w:themeFillTint="33"/>
          </w:tcPr>
          <w:p w:rsidRPr="00150826" w:rsidR="00B115DA" w:rsidP="00360B96" w:rsidRDefault="00B115DA" w14:paraId="0052DED5" w14:textId="302C010D">
            <w:proofErr w:type="spellStart"/>
            <w:r>
              <w:t>AtoN</w:t>
            </w:r>
            <w:proofErr w:type="spellEnd"/>
            <w:r>
              <w:t xml:space="preserve"> Number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Pr="00150826" w:rsidR="00B115DA" w:rsidP="00360B96" w:rsidRDefault="00B115DA" w14:paraId="063B2F94" w14:textId="025FFD93">
            <w:r>
              <w:t>Name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Pr="00150826" w:rsidR="00B115DA" w:rsidP="00360B96" w:rsidRDefault="00B115DA" w14:paraId="279CFBF6" w14:textId="569178F8">
            <w:r>
              <w:t>Type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Pr="00150826" w:rsidR="00B115DA" w:rsidP="00360B96" w:rsidRDefault="00B115DA" w14:paraId="4C7AE13F" w14:textId="4B75BB0F">
            <w:r>
              <w:t xml:space="preserve">Details </w:t>
            </w:r>
          </w:p>
        </w:tc>
      </w:tr>
      <w:tr w:rsidR="00B115DA" w:rsidTr="00360B96" w14:paraId="1914177C" w14:textId="77777777">
        <w:tc>
          <w:tcPr>
            <w:tcW w:w="1134" w:type="dxa"/>
          </w:tcPr>
          <w:p w:rsidRPr="00150826" w:rsidR="00B115DA" w:rsidP="00360B96" w:rsidRDefault="00B115DA" w14:paraId="4BB6FDAD" w14:textId="5CEFA3C0">
            <w:r>
              <w:t>N06151</w:t>
            </w:r>
          </w:p>
        </w:tc>
        <w:tc>
          <w:tcPr>
            <w:tcW w:w="2268" w:type="dxa"/>
          </w:tcPr>
          <w:p w:rsidRPr="00150826" w:rsidR="00B115DA" w:rsidP="00360B96" w:rsidRDefault="00B115DA" w14:paraId="462EAE7D" w14:textId="374C3DEA">
            <w:r>
              <w:t>Breakwater South End</w:t>
            </w:r>
          </w:p>
        </w:tc>
        <w:tc>
          <w:tcPr>
            <w:tcW w:w="3686" w:type="dxa"/>
          </w:tcPr>
          <w:p w:rsidRPr="00150826" w:rsidR="00B115DA" w:rsidP="00360B96" w:rsidRDefault="00B115DA" w14:paraId="07E8C6AF" w14:textId="3E2E7A98">
            <w:r>
              <w:t xml:space="preserve">Flashing Red 3 Seconds </w:t>
            </w:r>
          </w:p>
        </w:tc>
        <w:tc>
          <w:tcPr>
            <w:tcW w:w="1701" w:type="dxa"/>
          </w:tcPr>
          <w:p w:rsidR="00B115DA" w:rsidP="00360B96" w:rsidRDefault="00B115DA" w14:paraId="4B8CE893" w14:textId="77777777">
            <w:r>
              <w:t xml:space="preserve">Height 7m </w:t>
            </w:r>
          </w:p>
          <w:p w:rsidRPr="00150826" w:rsidR="00B115DA" w:rsidP="00360B96" w:rsidRDefault="00B115DA" w14:paraId="081ACFD1" w14:textId="541815F9">
            <w:r>
              <w:t xml:space="preserve">Range </w:t>
            </w:r>
          </w:p>
        </w:tc>
      </w:tr>
      <w:tr w:rsidR="00B115DA" w:rsidTr="00360B96" w14:paraId="23D7D9EE" w14:textId="77777777">
        <w:tc>
          <w:tcPr>
            <w:tcW w:w="1134" w:type="dxa"/>
          </w:tcPr>
          <w:p w:rsidRPr="00150826" w:rsidR="00B115DA" w:rsidP="00360B96" w:rsidRDefault="00B115DA" w14:paraId="32D5AC71" w14:textId="17A927BB">
            <w:r>
              <w:t>N06152</w:t>
            </w:r>
          </w:p>
        </w:tc>
        <w:tc>
          <w:tcPr>
            <w:tcW w:w="2268" w:type="dxa"/>
          </w:tcPr>
          <w:p w:rsidRPr="00150826" w:rsidR="00B115DA" w:rsidP="00360B96" w:rsidRDefault="00B115DA" w14:paraId="4A452DF6" w14:textId="05027133">
            <w:r>
              <w:t xml:space="preserve">Outer Pier End North West </w:t>
            </w:r>
          </w:p>
        </w:tc>
        <w:tc>
          <w:tcPr>
            <w:tcW w:w="3686" w:type="dxa"/>
          </w:tcPr>
          <w:p w:rsidRPr="00150826" w:rsidR="00B115DA" w:rsidP="00360B96" w:rsidRDefault="00B115DA" w14:paraId="5B011813" w14:textId="7FB2E986">
            <w:r>
              <w:t xml:space="preserve">Traffic Signal: Fixed Green (Go) or Fixed Red (Stop) </w:t>
            </w:r>
          </w:p>
        </w:tc>
        <w:tc>
          <w:tcPr>
            <w:tcW w:w="1701" w:type="dxa"/>
          </w:tcPr>
          <w:p w:rsidR="00B115DA" w:rsidP="00360B96" w:rsidRDefault="00B115DA" w14:paraId="49E4830B" w14:textId="0C09D261">
            <w:r>
              <w:t>Height 7.</w:t>
            </w:r>
            <w:r w:rsidR="00943A90">
              <w:t>6</w:t>
            </w:r>
            <w:r>
              <w:t>m</w:t>
            </w:r>
          </w:p>
          <w:p w:rsidRPr="00150826" w:rsidR="00B115DA" w:rsidP="00360B96" w:rsidRDefault="00B115DA" w14:paraId="54056558" w14:textId="0711486B">
            <w:r>
              <w:t xml:space="preserve">Range </w:t>
            </w:r>
            <w:r w:rsidR="00943A90">
              <w:t xml:space="preserve">5m </w:t>
            </w:r>
            <w:r w:rsidRPr="00587D4D">
              <w:rPr>
                <w:color w:val="FF0000"/>
              </w:rPr>
              <w:t xml:space="preserve"> </w:t>
            </w:r>
          </w:p>
        </w:tc>
      </w:tr>
      <w:tr w:rsidR="00943A90" w:rsidTr="00360B96" w14:paraId="02DEEABD" w14:textId="77777777">
        <w:tc>
          <w:tcPr>
            <w:tcW w:w="1134" w:type="dxa"/>
          </w:tcPr>
          <w:p w:rsidR="00943A90" w:rsidP="00360B96" w:rsidRDefault="00943A90" w14:paraId="29B80BD0" w14:textId="0A39862D">
            <w:r>
              <w:t>N07880</w:t>
            </w:r>
          </w:p>
        </w:tc>
        <w:tc>
          <w:tcPr>
            <w:tcW w:w="2268" w:type="dxa"/>
          </w:tcPr>
          <w:p w:rsidR="00943A90" w:rsidP="00360B96" w:rsidRDefault="00943A90" w14:paraId="14A9E742" w14:textId="4AF9E73F">
            <w:r>
              <w:t xml:space="preserve">Outer Pier End North West </w:t>
            </w:r>
          </w:p>
        </w:tc>
        <w:tc>
          <w:tcPr>
            <w:tcW w:w="3686" w:type="dxa"/>
          </w:tcPr>
          <w:p w:rsidR="00943A90" w:rsidP="00360B96" w:rsidRDefault="00943A90" w14:paraId="55198766" w14:textId="5850966D">
            <w:r>
              <w:t>Fog Signal</w:t>
            </w:r>
          </w:p>
        </w:tc>
        <w:tc>
          <w:tcPr>
            <w:tcW w:w="1701" w:type="dxa"/>
          </w:tcPr>
          <w:p w:rsidR="00943A90" w:rsidP="00360B96" w:rsidRDefault="00943A90" w14:paraId="4F6C2547" w14:textId="1E104F7A">
            <w:r>
              <w:t>Siren 90S</w:t>
            </w:r>
          </w:p>
        </w:tc>
      </w:tr>
    </w:tbl>
    <w:p w:rsidRPr="00150826" w:rsidR="007B69B3" w:rsidP="00360B96" w:rsidRDefault="00150826" w14:paraId="178C22C2" w14:textId="63DE7F21">
      <w:r w:rsidRPr="00150826">
        <w:t xml:space="preserve"> </w:t>
      </w:r>
    </w:p>
    <w:p w:rsidR="008E57FD" w:rsidP="006352AA" w:rsidRDefault="008E57FD" w14:paraId="5E113BC4" w14:textId="562EA77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-567"/>
        <w:jc w:val="both"/>
        <w:rPr>
          <w:rFonts w:cs="Arial"/>
          <w:szCs w:val="24"/>
        </w:rPr>
      </w:pPr>
    </w:p>
    <w:p w:rsidR="00587D4D" w:rsidP="00360B96" w:rsidRDefault="00587D4D" w14:paraId="276D3B61" w14:textId="255EFA7A">
      <w:r>
        <w:t>The Outer Pier End</w:t>
      </w:r>
      <w:r w:rsidR="00943A90">
        <w:t xml:space="preserve"> Fixed Light (G or R) </w:t>
      </w:r>
      <w:r>
        <w:t xml:space="preserve">and </w:t>
      </w:r>
      <w:r w:rsidR="00943A90">
        <w:t xml:space="preserve">the </w:t>
      </w:r>
      <w:r>
        <w:t>Breakwater South End lights are important navigational aids for users of NSH.</w:t>
      </w:r>
    </w:p>
    <w:p w:rsidR="00587D4D" w:rsidP="00360B96" w:rsidRDefault="00587D4D" w14:paraId="1DA4C8F4" w14:textId="77777777"/>
    <w:p w:rsidR="008E57FD" w:rsidP="00360B96" w:rsidRDefault="00587D4D" w14:paraId="0B0879C7" w14:textId="44464777">
      <w:r>
        <w:t xml:space="preserve">The active use of the </w:t>
      </w:r>
      <w:r w:rsidR="00360B96">
        <w:t>T</w:t>
      </w:r>
      <w:r>
        <w:t xml:space="preserve">raffic </w:t>
      </w:r>
      <w:r w:rsidR="00360B96">
        <w:t>C</w:t>
      </w:r>
      <w:r>
        <w:t xml:space="preserve">ontrol </w:t>
      </w:r>
      <w:r w:rsidR="00943A90">
        <w:t xml:space="preserve">element of the Fixed Green / Red </w:t>
      </w:r>
      <w:r>
        <w:t>light</w:t>
      </w:r>
      <w:r w:rsidR="00943A90">
        <w:t>s</w:t>
      </w:r>
      <w:r>
        <w:t xml:space="preserve"> </w:t>
      </w:r>
      <w:r w:rsidR="00360B96">
        <w:t>appear</w:t>
      </w:r>
      <w:r w:rsidR="00943A90">
        <w:t>s</w:t>
      </w:r>
      <w:r>
        <w:t xml:space="preserve"> to have fallen into disuse – (December 2023). The </w:t>
      </w:r>
      <w:r w:rsidR="00943A90">
        <w:t xml:space="preserve">traffic control </w:t>
      </w:r>
      <w:r>
        <w:t>function, utility and future use of these lights will be reviewed in early 2024.</w:t>
      </w:r>
    </w:p>
    <w:p w:rsidRPr="005868A6" w:rsidR="006352AA" w:rsidP="00CE7A2D" w:rsidRDefault="006352AA" w14:paraId="5D1F220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-567"/>
        <w:jc w:val="both"/>
        <w:rPr>
          <w:rFonts w:cs="Arial"/>
          <w:szCs w:val="24"/>
        </w:rPr>
      </w:pPr>
    </w:p>
    <w:p w:rsidRPr="005868A6" w:rsidR="006E4879" w:rsidP="005868A6" w:rsidRDefault="006E4879" w14:paraId="4DB743EE" w14:textId="50B2CE57">
      <w:pPr>
        <w:pStyle w:val="Heading1"/>
      </w:pPr>
      <w:r w:rsidRPr="005868A6">
        <w:t>Survey of Aids to Navigation:</w:t>
      </w:r>
    </w:p>
    <w:p w:rsidRPr="005868A6" w:rsidR="009347FA" w:rsidP="00CE7A2D" w:rsidRDefault="009347FA" w14:paraId="25DC63B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-567"/>
        <w:jc w:val="both"/>
        <w:rPr>
          <w:rFonts w:cs="Arial"/>
          <w:szCs w:val="24"/>
        </w:rPr>
      </w:pPr>
    </w:p>
    <w:p w:rsidR="00360B96" w:rsidP="00360B96" w:rsidRDefault="00587D4D" w14:paraId="09888AB1" w14:textId="32A522F7">
      <w:r>
        <w:t>The correct functioning of a</w:t>
      </w:r>
      <w:r w:rsidRPr="005868A6">
        <w:t xml:space="preserve">ll </w:t>
      </w:r>
      <w:r>
        <w:t xml:space="preserve">AtoNs </w:t>
      </w:r>
      <w:r w:rsidRPr="005868A6" w:rsidR="00943A90">
        <w:t>is</w:t>
      </w:r>
      <w:r w:rsidRPr="005868A6">
        <w:t xml:space="preserve"> checked </w:t>
      </w:r>
      <w:r>
        <w:t>b</w:t>
      </w:r>
      <w:r w:rsidRPr="005868A6">
        <w:t xml:space="preserve">y </w:t>
      </w:r>
      <w:r>
        <w:t xml:space="preserve">NSH Harbour Staff on a </w:t>
      </w:r>
      <w:r w:rsidR="00D0454A">
        <w:t xml:space="preserve">monthly </w:t>
      </w:r>
      <w:r>
        <w:t xml:space="preserve">basis. </w:t>
      </w:r>
      <w:r w:rsidR="00360B96">
        <w:t xml:space="preserve">This inspection is recorded and </w:t>
      </w:r>
      <w:r w:rsidR="006564C5">
        <w:t xml:space="preserve">physically </w:t>
      </w:r>
      <w:r w:rsidR="00360B96">
        <w:t xml:space="preserve">signed for on the </w:t>
      </w:r>
      <w:proofErr w:type="spellStart"/>
      <w:r w:rsidR="00360B96">
        <w:t>AtoN</w:t>
      </w:r>
      <w:proofErr w:type="spellEnd"/>
      <w:r w:rsidR="00360B96">
        <w:t xml:space="preserve"> Inspection </w:t>
      </w:r>
      <w:r w:rsidR="006564C5">
        <w:t>F</w:t>
      </w:r>
      <w:r w:rsidR="00360B96">
        <w:t xml:space="preserve">orm attached below </w:t>
      </w:r>
      <w:r w:rsidR="006564C5">
        <w:t xml:space="preserve">and held </w:t>
      </w:r>
      <w:r w:rsidR="00360B96">
        <w:t>in the Harbour Office.</w:t>
      </w:r>
    </w:p>
    <w:p w:rsidR="00531BDA" w:rsidP="00360B96" w:rsidRDefault="00531BDA" w14:paraId="70398454" w14:textId="77777777"/>
    <w:p w:rsidR="00531BDA" w:rsidP="00360B96" w:rsidRDefault="00531BDA" w14:paraId="4FADAE0B" w14:textId="4BE7180F">
      <w:r>
        <w:t>Every 6 months each of the AtoNs will be maintained</w:t>
      </w:r>
      <w:r w:rsidR="00D0454A">
        <w:t xml:space="preserve"> (cleaned, greased etc) </w:t>
      </w:r>
      <w:r>
        <w:t xml:space="preserve">– this inspection also recorded on the </w:t>
      </w:r>
      <w:proofErr w:type="spellStart"/>
      <w:r>
        <w:t>AtoN</w:t>
      </w:r>
      <w:proofErr w:type="spellEnd"/>
      <w:r>
        <w:t xml:space="preserve"> Inspection Form below.   </w:t>
      </w:r>
    </w:p>
    <w:p w:rsidR="00360B96" w:rsidP="00360B96" w:rsidRDefault="00360B96" w14:paraId="68EAB40E" w14:textId="77777777"/>
    <w:p w:rsidR="00587D4D" w:rsidP="00360B96" w:rsidRDefault="00360B96" w14:paraId="14662CFC" w14:textId="3AE13930">
      <w:r>
        <w:t xml:space="preserve">It is expected that </w:t>
      </w:r>
      <w:r w:rsidR="00587D4D">
        <w:t>Harbour users will also</w:t>
      </w:r>
      <w:r w:rsidR="00D0454A">
        <w:t xml:space="preserve"> quickly </w:t>
      </w:r>
      <w:r w:rsidR="00587D4D">
        <w:t xml:space="preserve">report any </w:t>
      </w:r>
      <w:proofErr w:type="spellStart"/>
      <w:r w:rsidR="00587D4D">
        <w:t>AtoN</w:t>
      </w:r>
      <w:proofErr w:type="spellEnd"/>
      <w:r w:rsidR="00587D4D">
        <w:t xml:space="preserve"> failure to the Harbour Master.</w:t>
      </w:r>
    </w:p>
    <w:p w:rsidR="00587D4D" w:rsidP="00360B96" w:rsidRDefault="00587D4D" w14:paraId="4284CA8C" w14:textId="77777777"/>
    <w:p w:rsidRPr="005868A6" w:rsidR="00587D4D" w:rsidP="00360B96" w:rsidRDefault="006E4879" w14:paraId="14688543" w14:textId="4737F64E">
      <w:r w:rsidRPr="005868A6">
        <w:t>An annual survey of all Aids to Navigation is carried out by the Trini</w:t>
      </w:r>
      <w:r w:rsidRPr="005868A6" w:rsidR="007F68DB">
        <w:t>ty House Inspector of Seamarks</w:t>
      </w:r>
      <w:r w:rsidR="00587D4D">
        <w:t xml:space="preserve"> – this normally happens in November or December each year</w:t>
      </w:r>
      <w:r w:rsidRPr="005868A6" w:rsidR="00587D4D">
        <w:t>.</w:t>
      </w:r>
    </w:p>
    <w:p w:rsidR="006E4879" w:rsidP="00CE7A2D" w:rsidRDefault="006E4879" w14:paraId="7B8BA315" w14:textId="08CD0AE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-567"/>
        <w:jc w:val="both"/>
        <w:rPr>
          <w:rFonts w:cs="Arial"/>
          <w:szCs w:val="24"/>
        </w:rPr>
      </w:pPr>
    </w:p>
    <w:p w:rsidR="009B79B4" w:rsidP="00CE7A2D" w:rsidRDefault="009B79B4" w14:paraId="359440E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-567"/>
        <w:jc w:val="both"/>
        <w:rPr>
          <w:rFonts w:cs="Arial"/>
          <w:szCs w:val="24"/>
        </w:rPr>
      </w:pPr>
    </w:p>
    <w:p w:rsidRPr="005868A6" w:rsidR="00D0454A" w:rsidP="00CE7A2D" w:rsidRDefault="00D0454A" w14:paraId="4D36F5B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-567"/>
        <w:jc w:val="both"/>
        <w:rPr>
          <w:rFonts w:cs="Arial"/>
          <w:szCs w:val="24"/>
        </w:rPr>
      </w:pPr>
    </w:p>
    <w:p w:rsidRPr="005868A6" w:rsidR="006E4879" w:rsidP="005868A6" w:rsidRDefault="006E4879" w14:paraId="0C2E75C9" w14:textId="5CBF9F40">
      <w:pPr>
        <w:pStyle w:val="Heading1"/>
      </w:pPr>
      <w:r w:rsidRPr="005868A6">
        <w:lastRenderedPageBreak/>
        <w:t xml:space="preserve">Fault Reporting: </w:t>
      </w:r>
    </w:p>
    <w:p w:rsidRPr="005868A6" w:rsidR="009347FA" w:rsidP="00CE7A2D" w:rsidRDefault="009347FA" w14:paraId="5ED835C0" w14:textId="77777777">
      <w:pPr>
        <w:ind w:left="-567"/>
        <w:jc w:val="both"/>
        <w:rPr>
          <w:rFonts w:cs="Arial"/>
          <w:b/>
          <w:color w:val="002060"/>
          <w:szCs w:val="24"/>
        </w:rPr>
      </w:pPr>
    </w:p>
    <w:p w:rsidR="00943A90" w:rsidP="00587D4D" w:rsidRDefault="00677520" w14:paraId="78B328D5" w14:textId="51C55E0A">
      <w:r w:rsidRPr="005868A6">
        <w:t xml:space="preserve">Any faults are </w:t>
      </w:r>
      <w:r w:rsidR="00D0454A">
        <w:t xml:space="preserve">to be </w:t>
      </w:r>
      <w:r w:rsidRPr="005868A6">
        <w:t>reported to the Harbour Master who will</w:t>
      </w:r>
      <w:r w:rsidR="00943A90">
        <w:t xml:space="preserve"> record </w:t>
      </w:r>
      <w:r w:rsidR="00D0454A">
        <w:t>them</w:t>
      </w:r>
      <w:r w:rsidR="00943A90">
        <w:t xml:space="preserve"> using the </w:t>
      </w:r>
      <w:r w:rsidRPr="005868A6">
        <w:t>Trinity House</w:t>
      </w:r>
      <w:r w:rsidR="00D0454A">
        <w:t xml:space="preserve">; </w:t>
      </w:r>
      <w:r w:rsidR="00495100">
        <w:t xml:space="preserve">Local Aids to Navigation Reporting </w:t>
      </w:r>
      <w:r w:rsidR="00943A90">
        <w:t xml:space="preserve">System - </w:t>
      </w:r>
      <w:r w:rsidR="00495100">
        <w:t>LARS</w:t>
      </w:r>
      <w:r w:rsidR="00943A90">
        <w:t>.</w:t>
      </w:r>
    </w:p>
    <w:p w:rsidR="00E45C1C" w:rsidP="00587D4D" w:rsidRDefault="00000000" w14:paraId="61599B6E" w14:textId="67B9D26A">
      <w:hyperlink w:history="1" r:id="rId12">
        <w:r w:rsidRPr="00E45C1C" w:rsidR="00E45C1C">
          <w:rPr>
            <w:rStyle w:val="Hyperlink"/>
          </w:rPr>
          <w:t>https://lars.trinityhouse.co.uk/</w:t>
        </w:r>
      </w:hyperlink>
    </w:p>
    <w:p w:rsidR="00D0454A" w:rsidP="00587D4D" w:rsidRDefault="00D0454A" w14:paraId="63B74E81" w14:textId="77777777"/>
    <w:p w:rsidR="00943A90" w:rsidP="00587D4D" w:rsidRDefault="006564C5" w14:paraId="27223AD3" w14:textId="03AD7FC6">
      <w:r>
        <w:t>The NSH p</w:t>
      </w:r>
      <w:r w:rsidR="00943A90">
        <w:t xml:space="preserve">ort </w:t>
      </w:r>
      <w:r>
        <w:t>r</w:t>
      </w:r>
      <w:r w:rsidR="00943A90">
        <w:t xml:space="preserve">egistration </w:t>
      </w:r>
      <w:r>
        <w:t>n</w:t>
      </w:r>
      <w:r w:rsidR="00943A90">
        <w:t>umber</w:t>
      </w:r>
      <w:r w:rsidR="00D0454A">
        <w:t xml:space="preserve"> and login for this system </w:t>
      </w:r>
      <w:r w:rsidR="00943A90">
        <w:t xml:space="preserve">is A4015. </w:t>
      </w:r>
      <w:r>
        <w:t>The website p</w:t>
      </w:r>
      <w:r w:rsidR="00943A90">
        <w:t xml:space="preserve">assword </w:t>
      </w:r>
      <w:r>
        <w:t>for the NSH section of the Trinity House website is</w:t>
      </w:r>
      <w:r w:rsidR="00943A90">
        <w:t xml:space="preserve"> held by </w:t>
      </w:r>
      <w:r>
        <w:t xml:space="preserve">the </w:t>
      </w:r>
      <w:r w:rsidR="00943A90">
        <w:t xml:space="preserve">HM and </w:t>
      </w:r>
      <w:r>
        <w:t xml:space="preserve">the </w:t>
      </w:r>
      <w:r w:rsidR="00943A90">
        <w:t>Clerk.</w:t>
      </w:r>
    </w:p>
    <w:p w:rsidR="006564C5" w:rsidP="00587D4D" w:rsidRDefault="006564C5" w14:paraId="5BFAEC40" w14:textId="77777777"/>
    <w:p w:rsidRPr="005868A6" w:rsidR="00677520" w:rsidP="00587D4D" w:rsidRDefault="00943A90" w14:paraId="40E0F2EE" w14:textId="547A2539">
      <w:r>
        <w:t xml:space="preserve">If the defect is likely to persist for more than 24 </w:t>
      </w:r>
      <w:r w:rsidR="006564C5">
        <w:t>hours,</w:t>
      </w:r>
      <w:r>
        <w:t xml:space="preserve"> then a L</w:t>
      </w:r>
      <w:r w:rsidRPr="005868A6" w:rsidR="00677520">
        <w:t>ocal Notice to Mariners</w:t>
      </w:r>
      <w:r>
        <w:t xml:space="preserve"> will be issued by the Harbour Master</w:t>
      </w:r>
      <w:r w:rsidR="00DC7D60">
        <w:t xml:space="preserve"> and placed on the NSH website</w:t>
      </w:r>
      <w:r w:rsidRPr="005868A6" w:rsidR="00677520">
        <w:t>.</w:t>
      </w:r>
    </w:p>
    <w:p w:rsidR="00266FBA" w:rsidP="00CE7A2D" w:rsidRDefault="00266FBA" w14:paraId="06A8D59D" w14:textId="77777777">
      <w:pPr>
        <w:ind w:left="-567"/>
        <w:jc w:val="both"/>
        <w:rPr>
          <w:rFonts w:cs="Arial"/>
          <w:szCs w:val="24"/>
        </w:rPr>
      </w:pPr>
    </w:p>
    <w:p w:rsidR="00587D4D" w:rsidP="00587D4D" w:rsidRDefault="00587D4D" w14:paraId="05AAAAAD" w14:textId="77777777">
      <w:pPr>
        <w:pStyle w:val="Heading1"/>
      </w:pPr>
      <w:r>
        <w:t>Maintenance &amp; Repair:</w:t>
      </w:r>
    </w:p>
    <w:p w:rsidR="00587D4D" w:rsidP="00587D4D" w:rsidRDefault="00587D4D" w14:paraId="4B04C1D1" w14:textId="420C220E"/>
    <w:p w:rsidR="006564C5" w:rsidP="00587D4D" w:rsidRDefault="006564C5" w14:paraId="39966B61" w14:textId="5B0F9A34">
      <w:r>
        <w:t>NSH AtoNs are classed as International Association of Lighthouse Authority (IALA) Category 3 lights and signals. This means that they must be available for 97% of the time.</w:t>
      </w:r>
    </w:p>
    <w:p w:rsidR="00531BDA" w:rsidP="00587D4D" w:rsidRDefault="00531BDA" w14:paraId="29B68B6D" w14:textId="77777777"/>
    <w:p w:rsidR="00531BDA" w:rsidP="00587D4D" w:rsidRDefault="006564C5" w14:paraId="789FCB5B" w14:textId="5AA9D1BE">
      <w:r>
        <w:t xml:space="preserve">In the event of a defect being identified, port staff will, in the first instance attempt to rectify </w:t>
      </w:r>
      <w:r w:rsidR="00D0454A">
        <w:t xml:space="preserve">it </w:t>
      </w:r>
      <w:r w:rsidR="00531BDA">
        <w:t xml:space="preserve">themselves or </w:t>
      </w:r>
      <w:r>
        <w:t xml:space="preserve">if </w:t>
      </w:r>
      <w:r w:rsidR="00D0454A">
        <w:t xml:space="preserve">they are </w:t>
      </w:r>
      <w:r>
        <w:t>unable to fix</w:t>
      </w:r>
      <w:r w:rsidR="00D0454A">
        <w:t xml:space="preserve"> it</w:t>
      </w:r>
      <w:r w:rsidR="00531BDA">
        <w:t>,</w:t>
      </w:r>
      <w:r>
        <w:t xml:space="preserve"> will call</w:t>
      </w:r>
      <w:r w:rsidR="00531BDA">
        <w:t xml:space="preserve"> first</w:t>
      </w:r>
      <w:r w:rsidR="00D0454A">
        <w:t xml:space="preserve">, </w:t>
      </w:r>
      <w:r w:rsidR="00531BDA">
        <w:t xml:space="preserve">the Harbour Master and </w:t>
      </w:r>
      <w:r w:rsidR="00D0454A">
        <w:t>then either</w:t>
      </w:r>
      <w:r w:rsidR="00531BDA">
        <w:t xml:space="preserve"> of the 2 electrical companies in Seahouses to assist</w:t>
      </w:r>
      <w:r>
        <w:t>.</w:t>
      </w:r>
    </w:p>
    <w:p w:rsidRPr="00D44485" w:rsidR="00531BDA" w:rsidP="00587D4D" w:rsidRDefault="00531BDA" w14:paraId="547127A0" w14:textId="77777777">
      <w:pPr>
        <w:rPr>
          <w:strike/>
        </w:rPr>
      </w:pPr>
    </w:p>
    <w:p w:rsidR="00531BDA" w:rsidP="00587D4D" w:rsidRDefault="00531BDA" w14:paraId="3AA548C1" w14:textId="64B13311">
      <w:r>
        <w:t>Oswald Hughes Electricals – 01665 720344</w:t>
      </w:r>
    </w:p>
    <w:p w:rsidR="00277A25" w:rsidP="00587D4D" w:rsidRDefault="00277A25" w14:paraId="012E5806" w14:textId="4E174A90">
      <w:r>
        <w:t xml:space="preserve">Alan MacFarlane </w:t>
      </w:r>
      <w:r w:rsidR="008F0579">
        <w:t>–</w:t>
      </w:r>
      <w:r>
        <w:t xml:space="preserve"> </w:t>
      </w:r>
      <w:r w:rsidR="008F0579">
        <w:t>07904 686243</w:t>
      </w:r>
    </w:p>
    <w:p w:rsidR="00D0454A" w:rsidP="00587D4D" w:rsidRDefault="00D0454A" w14:paraId="199A0BFA" w14:textId="77777777"/>
    <w:p w:rsidRPr="005868A6" w:rsidR="00D0454A" w:rsidP="00587D4D" w:rsidRDefault="00D0454A" w14:paraId="78B30DDD" w14:textId="4C3D4DF4">
      <w:r>
        <w:t xml:space="preserve">If these companies cannot assist, then the search for assistance will expand further afield noting the availability requirement of the AtoNs.  </w:t>
      </w:r>
    </w:p>
    <w:p w:rsidR="00360B96" w:rsidRDefault="00360B96" w14:paraId="31C9F8EB" w14:textId="074B2179">
      <w:pPr>
        <w:spacing w:after="200" w:line="276" w:lineRule="auto"/>
        <w:rPr>
          <w:rFonts w:cs="Arial"/>
          <w:szCs w:val="24"/>
        </w:rPr>
      </w:pPr>
      <w:r w:rsidRPr="38CF2428">
        <w:rPr>
          <w:rFonts w:cs="Arial"/>
        </w:rPr>
        <w:br w:type="page"/>
      </w:r>
    </w:p>
    <w:sectPr w:rsidRPr="005868A6" w:rsidR="00D070FC" w:rsidSect="00162A21">
      <w:headerReference w:type="default" r:id="rId13"/>
      <w:footerReference w:type="default" r:id="rId14"/>
      <w:pgSz w:w="11906" w:h="16838" w:orient="portrait"/>
      <w:pgMar w:top="1631" w:right="1274" w:bottom="993" w:left="1701" w:header="570" w:footer="633" w:gutter="0"/>
      <w:pgBorders w:offsetFrom="page">
        <w:top w:val="single" w:color="548DD4" w:themeColor="text2" w:themeTint="99" w:sz="24" w:space="24"/>
        <w:left w:val="single" w:color="548DD4" w:themeColor="text2" w:themeTint="99" w:sz="24" w:space="24"/>
        <w:bottom w:val="single" w:color="548DD4" w:themeColor="text2" w:themeTint="99" w:sz="24" w:space="24"/>
        <w:right w:val="single" w:color="548DD4" w:themeColor="text2" w:themeTint="99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4566F" w:rsidP="00FC7743" w:rsidRDefault="0034566F" w14:paraId="247CE307" w14:textId="77777777">
      <w:r>
        <w:separator/>
      </w:r>
    </w:p>
  </w:endnote>
  <w:endnote w:type="continuationSeparator" w:id="0">
    <w:p w:rsidR="0034566F" w:rsidP="00FC7743" w:rsidRDefault="0034566F" w14:paraId="30C146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sdt>
    <w:sdtPr>
      <w:id w:val="62614445"/>
      <w:docPartObj>
        <w:docPartGallery w:val="Page Numbers (Bottom of Page)"/>
        <w:docPartUnique/>
      </w:docPartObj>
    </w:sdtPr>
    <w:sdtContent>
      <w:sdt>
        <w:sdtPr>
          <w:id w:val="918908325"/>
          <w:docPartObj>
            <w:docPartGallery w:val="Page Numbers (Top of Page)"/>
            <w:docPartUnique/>
          </w:docPartObj>
        </w:sdtPr>
        <w:sdtContent>
          <w:p w:rsidR="00805D1C" w:rsidP="00805D1C" w:rsidRDefault="00F85D1E" w14:paraId="64684A3F" w14:textId="6BDFE31C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  <w:r>
              <w:rPr>
                <w:rFonts w:ascii="Bodoni MT Black" w:hAnsi="Bodoni MT Black"/>
                <w:noProof/>
                <w:color w:val="00206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81EC8D1" wp14:editId="23A75D5A">
                      <wp:simplePos x="0" y="0"/>
                      <wp:positionH relativeFrom="column">
                        <wp:posOffset>-527685</wp:posOffset>
                      </wp:positionH>
                      <wp:positionV relativeFrom="paragraph">
                        <wp:posOffset>-40640</wp:posOffset>
                      </wp:positionV>
                      <wp:extent cx="654367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436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2060" strokeweight="1.5pt" from="-41.55pt,-3.2pt" to="473.7pt,-3.2pt" w14:anchorId="7D5D2E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wLoAEAAC8DAAAOAAAAZHJzL2Uyb0RvYy54bWysUk1v2zAMvQ/YfxB0X+xmTbYZcXpo0F2G&#10;tUC3H8DIki1AXyDVOPn3o9Q07bbbsItEieQj+fg2N0fvxEEj2Rh6ebVopdBBxcGGsZc/f9x9+CwF&#10;ZQgDuBh0L0+a5M32/bvNnDq9jFN0g0bBIIG6OfVyyjl1TUNq0h5oEZMO7DQRPWR+4tgMCDOje9cs&#10;23bdzBGHhFFpIv7dPTvltuIbo1W+N4Z0Fq6X3FuuJ9ZzX85mu4FuREiTVec24B+68GADF71A7SCD&#10;eEL7F5S3CiNFkxcq+iYaY5WuM/A0V+0f0zxOkHSdhcmhdKGJ/h+s+n64DQ/INMyJOkoPWKY4GvTl&#10;5v7EsZJ1upClj1ko/lyvrj+uP62kUC++5jUxIeWvOnpRjF46G8oc0MHhG2UuxqEvIeU7xDvrXN2F&#10;C2JmIX1pV7wuBSwJ4yCz6dPQSwqjFOBG1prKWCEpOjuU9AJEOO5vHYoDlH23y3ZdV8zlfgsrtXdA&#10;03NcdRUlcJgLBUZX5ZxbfSWmWPs4nCpfTXnxVmraWUFl7W/fbL/V+fYXAAAA//8DAFBLAwQUAAYA&#10;CAAAACEAWYdNW94AAAAJAQAADwAAAGRycy9kb3ducmV2LnhtbEyPzU7DMBCE70i8g7VI3FqnUKUl&#10;xKkqfg4cqGjpA7jxkliN15HttOHtWcSh3GZ3RrPflqvRdeKEIVpPCmbTDARS7Y2lRsH+83WyBBGT&#10;JqM7T6jgGyOsquurUhfGn2mLp11qBJdQLLSCNqW+kDLWLTodp75HYu/LB6cTj6GRJugzl7tO3mVZ&#10;Lp22xBda3eNTi/VxNzgFz/nw9rJZZ3XY2o0+2tbsPxbvSt3ejOtHEAnHdAnDLz6jQ8VMBz+QiaJT&#10;MFnezzjKIp+D4MDDfMHi8LeQVSn/f1D9AAAA//8DAFBLAQItABQABgAIAAAAIQC2gziS/gAAAOEB&#10;AAATAAAAAAAAAAAAAAAAAAAAAABbQ29udGVudF9UeXBlc10ueG1sUEsBAi0AFAAGAAgAAAAhADj9&#10;If/WAAAAlAEAAAsAAAAAAAAAAAAAAAAALwEAAF9yZWxzLy5yZWxzUEsBAi0AFAAGAAgAAAAhAKRG&#10;XAugAQAALwMAAA4AAAAAAAAAAAAAAAAALgIAAGRycy9lMm9Eb2MueG1sUEsBAi0AFAAGAAgAAAAh&#10;AFmHTVveAAAACQEAAA8AAAAAAAAAAAAAAAAA+gMAAGRycy9kb3ducmV2LnhtbFBLBQYAAAAABAAE&#10;APMAAAAFBQAAAAA=&#10;"/>
                  </w:pict>
                </mc:Fallback>
              </mc:AlternateContent>
            </w:r>
            <w:r w:rsidRPr="002A3688">
              <w:rPr>
                <w:rFonts w:ascii="Arial Rounded MT Bold" w:hAnsi="Arial Rounded MT Bold" w:cs="Tahoma"/>
                <w:color w:val="002060"/>
              </w:rPr>
              <w:t xml:space="preserve">Page 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instrText xml:space="preserve"> PAGE </w:instrTex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C965F0">
              <w:rPr>
                <w:rFonts w:ascii="Arial Rounded MT Bold" w:hAnsi="Arial Rounded MT Bold" w:cs="Tahoma"/>
                <w:bCs/>
                <w:noProof/>
                <w:color w:val="002060"/>
              </w:rPr>
              <w:t>1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 w:rsidRPr="002A3688">
              <w:rPr>
                <w:rFonts w:ascii="Arial Rounded MT Bold" w:hAnsi="Arial Rounded MT Bold" w:cs="Tahoma"/>
                <w:color w:val="002060"/>
              </w:rPr>
              <w:t xml:space="preserve"> of 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instrText xml:space="preserve"> NUMPAGES  </w:instrTex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C965F0">
              <w:rPr>
                <w:rFonts w:ascii="Arial Rounded MT Bold" w:hAnsi="Arial Rounded MT Bold" w:cs="Tahoma"/>
                <w:bCs/>
                <w:noProof/>
                <w:color w:val="002060"/>
              </w:rPr>
              <w:t>2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t xml:space="preserve">              </w:t>
            </w:r>
            <w:r w:rsidR="00E16972">
              <w:rPr>
                <w:rFonts w:ascii="Arial Rounded MT Bold" w:hAnsi="Arial Rounded MT Bold" w:cs="Tahoma"/>
                <w:bCs/>
                <w:color w:val="002060"/>
              </w:rPr>
              <w:t xml:space="preserve">North Sunderland Harbour </w:t>
            </w:r>
            <w:r w:rsidR="00805D1C">
              <w:rPr>
                <w:rFonts w:ascii="Arial Rounded MT Bold" w:hAnsi="Arial Rounded MT Bold" w:cs="Tahoma"/>
                <w:bCs/>
                <w:color w:val="002060"/>
              </w:rPr>
              <w:t xml:space="preserve">SMS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Section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3 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805D1C">
              <w:rPr>
                <w:rFonts w:ascii="Arial Rounded MT Bold" w:hAnsi="Arial Rounded MT Bold" w:cs="Tahoma"/>
                <w:bCs/>
                <w:color w:val="002060"/>
              </w:rPr>
              <w:t>Version 1</w:t>
            </w:r>
          </w:p>
          <w:p w:rsidR="00805D1C" w:rsidP="00805D1C" w:rsidRDefault="00805D1C" w14:paraId="09D99454" w14:textId="77777777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</w:p>
          <w:p w:rsidRPr="002A3688" w:rsidR="00F85D1E" w:rsidP="00805D1C" w:rsidRDefault="00805D1C" w14:paraId="381EC8C9" w14:textId="0D790770">
            <w:pPr>
              <w:pStyle w:val="Footer"/>
              <w:ind w:right="-589"/>
            </w:pPr>
            <w:r>
              <w:rPr>
                <w:rFonts w:ascii="Arial Rounded MT Bold" w:hAnsi="Arial Rounded MT Bold" w:cs="Tahoma"/>
                <w:bCs/>
                <w:color w:val="002060"/>
              </w:rPr>
              <w:t>Dated 1</w:t>
            </w:r>
            <w:r w:rsidRPr="00805D1C">
              <w:rPr>
                <w:rFonts w:ascii="Arial Rounded MT Bold" w:hAnsi="Arial Rounded MT Bold" w:cs="Tahoma"/>
                <w:bCs/>
                <w:color w:val="002060"/>
                <w:vertAlign w:val="superscript"/>
              </w:rPr>
              <w:t>st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 xml:space="preserve"> J</w:t>
            </w:r>
            <w:r w:rsidR="00162A21">
              <w:rPr>
                <w:rFonts w:ascii="Arial Rounded MT Bold" w:hAnsi="Arial Rounded MT Bold" w:cs="Tahoma"/>
                <w:bCs/>
                <w:color w:val="002060"/>
              </w:rPr>
              <w:t xml:space="preserve">une 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>202</w:t>
            </w:r>
            <w:r w:rsidR="00495100">
              <w:rPr>
                <w:rFonts w:ascii="Arial Rounded MT Bold" w:hAnsi="Arial Rounded MT Bold" w:cs="Tahoma"/>
                <w:bCs/>
                <w:color w:val="002060"/>
              </w:rPr>
              <w:t>4</w:t>
            </w:r>
            <w:r w:rsidR="00F85D1E">
              <w:rPr>
                <w:rFonts w:ascii="Arial Rounded MT Bold" w:hAnsi="Arial Rounded MT Bold" w:cs="Tahoma"/>
                <w:bCs/>
                <w:color w:val="002060"/>
              </w:rPr>
              <w:t xml:space="preserve">                                                                                                                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 xml:space="preserve">       </w:t>
            </w:r>
          </w:p>
        </w:sdtContent>
      </w:sdt>
    </w:sdtContent>
  </w:sdt>
  <w:p w:rsidRPr="002A3688" w:rsidR="00F85D1E" w:rsidRDefault="00F85D1E" w14:paraId="381EC8C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4566F" w:rsidP="00FC7743" w:rsidRDefault="0034566F" w14:paraId="343F1F31" w14:textId="77777777">
      <w:r>
        <w:separator/>
      </w:r>
    </w:p>
  </w:footnote>
  <w:footnote w:type="continuationSeparator" w:id="0">
    <w:p w:rsidR="0034566F" w:rsidP="00FC7743" w:rsidRDefault="0034566F" w14:paraId="2E9007A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C0DC7" w:rsidR="00F85D1E" w:rsidP="003C0DC7" w:rsidRDefault="00F85D1E" w14:paraId="381EC8C4" w14:textId="2AAC2344">
    <w:pPr>
      <w:pStyle w:val="Header"/>
      <w:rPr>
        <w:rFonts w:ascii="Bodoni MT Black" w:hAnsi="Bodoni MT Black"/>
        <w:color w:val="002060"/>
        <w:sz w:val="14"/>
      </w:rPr>
    </w:pPr>
  </w:p>
  <w:p w:rsidRPr="002A3688" w:rsidR="00F85D1E" w:rsidP="00E1711D" w:rsidRDefault="00F85D1E" w14:paraId="381EC8C7" w14:textId="28D1B88D">
    <w:pPr>
      <w:pStyle w:val="Header"/>
      <w:tabs>
        <w:tab w:val="clear" w:pos="9026"/>
        <w:tab w:val="left" w:pos="6005"/>
        <w:tab w:val="right" w:pos="8789"/>
      </w:tabs>
      <w:ind w:right="261" w:hanging="709"/>
      <w:rPr>
        <w:rFonts w:ascii="Arial Rounded MT Bold" w:hAnsi="Arial Rounded MT Bold"/>
        <w:color w:val="002060"/>
      </w:rPr>
    </w:pPr>
    <w:r>
      <w:rPr>
        <w:rFonts w:ascii="Arial Rounded MT Bold" w:hAnsi="Arial Rounded MT Bold"/>
        <w:color w:val="002060"/>
      </w:rPr>
      <w:tab/>
    </w:r>
    <w:r>
      <w:rPr>
        <w:rFonts w:ascii="Arial Rounded MT Bold" w:hAnsi="Arial Rounded MT Bold"/>
        <w:color w:val="002060"/>
      </w:rPr>
      <w:tab/>
    </w:r>
  </w:p>
  <w:p w:rsidRPr="00FC7743" w:rsidR="00F85D1E" w:rsidP="00FC7743" w:rsidRDefault="00F85D1E" w14:paraId="381EC8C8" w14:textId="10A1D2B1">
    <w:pPr>
      <w:pStyle w:val="Header"/>
      <w:ind w:hanging="709"/>
      <w:rPr>
        <w:rFonts w:ascii="Bodoni MT Black" w:hAnsi="Bodoni MT Black"/>
        <w:color w:val="002060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26235"/>
    <w:multiLevelType w:val="hybridMultilevel"/>
    <w:tmpl w:val="29F40262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D15C21"/>
    <w:multiLevelType w:val="hybridMultilevel"/>
    <w:tmpl w:val="5C48B53E"/>
    <w:lvl w:ilvl="0" w:tplc="030C43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B04421"/>
    <w:multiLevelType w:val="hybridMultilevel"/>
    <w:tmpl w:val="24C4F4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B443FB"/>
    <w:multiLevelType w:val="hybridMultilevel"/>
    <w:tmpl w:val="4FC0083E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E53CE"/>
    <w:multiLevelType w:val="hybridMultilevel"/>
    <w:tmpl w:val="2D849A86"/>
    <w:lvl w:ilvl="0" w:tplc="C644B4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A2C610A"/>
    <w:multiLevelType w:val="hybridMultilevel"/>
    <w:tmpl w:val="AA4CC556"/>
    <w:lvl w:ilvl="0" w:tplc="0A8844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7D631C97"/>
    <w:multiLevelType w:val="hybridMultilevel"/>
    <w:tmpl w:val="1076DCE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9165572">
    <w:abstractNumId w:val="1"/>
  </w:num>
  <w:num w:numId="2" w16cid:durableId="1887523992">
    <w:abstractNumId w:val="2"/>
  </w:num>
  <w:num w:numId="3" w16cid:durableId="943730081">
    <w:abstractNumId w:val="6"/>
  </w:num>
  <w:num w:numId="4" w16cid:durableId="473178762">
    <w:abstractNumId w:val="0"/>
  </w:num>
  <w:num w:numId="5" w16cid:durableId="2119442312">
    <w:abstractNumId w:val="3"/>
  </w:num>
  <w:num w:numId="6" w16cid:durableId="562909373">
    <w:abstractNumId w:val="4"/>
  </w:num>
  <w:num w:numId="7" w16cid:durableId="523632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Footer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43"/>
    <w:rsid w:val="00004E7E"/>
    <w:rsid w:val="00090E40"/>
    <w:rsid w:val="00093E02"/>
    <w:rsid w:val="000A1C76"/>
    <w:rsid w:val="000D65D0"/>
    <w:rsid w:val="000E05CE"/>
    <w:rsid w:val="00111688"/>
    <w:rsid w:val="00117860"/>
    <w:rsid w:val="00150826"/>
    <w:rsid w:val="00162A21"/>
    <w:rsid w:val="00194DAA"/>
    <w:rsid w:val="001B6205"/>
    <w:rsid w:val="001D2760"/>
    <w:rsid w:val="00255D8A"/>
    <w:rsid w:val="00266FBA"/>
    <w:rsid w:val="00277A25"/>
    <w:rsid w:val="002828DB"/>
    <w:rsid w:val="00287997"/>
    <w:rsid w:val="002A3688"/>
    <w:rsid w:val="002F5050"/>
    <w:rsid w:val="003134E2"/>
    <w:rsid w:val="0034566F"/>
    <w:rsid w:val="00360B96"/>
    <w:rsid w:val="003C0DC7"/>
    <w:rsid w:val="003C7E43"/>
    <w:rsid w:val="003D1C6E"/>
    <w:rsid w:val="0043361C"/>
    <w:rsid w:val="004569FC"/>
    <w:rsid w:val="00483418"/>
    <w:rsid w:val="00495100"/>
    <w:rsid w:val="004C5F29"/>
    <w:rsid w:val="004E00C7"/>
    <w:rsid w:val="00505D7D"/>
    <w:rsid w:val="0051608E"/>
    <w:rsid w:val="00531BDA"/>
    <w:rsid w:val="00533713"/>
    <w:rsid w:val="005868A6"/>
    <w:rsid w:val="00587D4D"/>
    <w:rsid w:val="005920F7"/>
    <w:rsid w:val="00592193"/>
    <w:rsid w:val="0059532F"/>
    <w:rsid w:val="005D3E61"/>
    <w:rsid w:val="006352AA"/>
    <w:rsid w:val="00654F38"/>
    <w:rsid w:val="006564C5"/>
    <w:rsid w:val="00677520"/>
    <w:rsid w:val="006B20DD"/>
    <w:rsid w:val="006B7721"/>
    <w:rsid w:val="006C28FF"/>
    <w:rsid w:val="006D7A6F"/>
    <w:rsid w:val="006E0B48"/>
    <w:rsid w:val="006E4879"/>
    <w:rsid w:val="006E7BDA"/>
    <w:rsid w:val="007215AB"/>
    <w:rsid w:val="0074668B"/>
    <w:rsid w:val="007B69B3"/>
    <w:rsid w:val="007C3214"/>
    <w:rsid w:val="007D01FB"/>
    <w:rsid w:val="007D6CBC"/>
    <w:rsid w:val="007D78DA"/>
    <w:rsid w:val="007F0F92"/>
    <w:rsid w:val="007F68DB"/>
    <w:rsid w:val="00805D1C"/>
    <w:rsid w:val="008626EE"/>
    <w:rsid w:val="00884542"/>
    <w:rsid w:val="008E57FD"/>
    <w:rsid w:val="008E7672"/>
    <w:rsid w:val="008F0579"/>
    <w:rsid w:val="009347FA"/>
    <w:rsid w:val="00943A90"/>
    <w:rsid w:val="0094594D"/>
    <w:rsid w:val="009521F0"/>
    <w:rsid w:val="00953524"/>
    <w:rsid w:val="009B79B4"/>
    <w:rsid w:val="00A23789"/>
    <w:rsid w:val="00A24644"/>
    <w:rsid w:val="00AC2A1B"/>
    <w:rsid w:val="00AC6699"/>
    <w:rsid w:val="00B115DA"/>
    <w:rsid w:val="00B50804"/>
    <w:rsid w:val="00B60209"/>
    <w:rsid w:val="00B92741"/>
    <w:rsid w:val="00BE43F8"/>
    <w:rsid w:val="00C574E6"/>
    <w:rsid w:val="00C87193"/>
    <w:rsid w:val="00C965F0"/>
    <w:rsid w:val="00CD3D8C"/>
    <w:rsid w:val="00CE1BA4"/>
    <w:rsid w:val="00CE7A2D"/>
    <w:rsid w:val="00CF05BD"/>
    <w:rsid w:val="00D01854"/>
    <w:rsid w:val="00D0454A"/>
    <w:rsid w:val="00D05DC5"/>
    <w:rsid w:val="00D070FC"/>
    <w:rsid w:val="00D13878"/>
    <w:rsid w:val="00D44485"/>
    <w:rsid w:val="00D9233E"/>
    <w:rsid w:val="00DB3E40"/>
    <w:rsid w:val="00DC7D60"/>
    <w:rsid w:val="00DF2FC4"/>
    <w:rsid w:val="00DF50D9"/>
    <w:rsid w:val="00DF79D5"/>
    <w:rsid w:val="00E16972"/>
    <w:rsid w:val="00E1711D"/>
    <w:rsid w:val="00E441DF"/>
    <w:rsid w:val="00E45C1C"/>
    <w:rsid w:val="00E82C4E"/>
    <w:rsid w:val="00EB1E30"/>
    <w:rsid w:val="00EB499B"/>
    <w:rsid w:val="00F21282"/>
    <w:rsid w:val="00F52624"/>
    <w:rsid w:val="00F54C1E"/>
    <w:rsid w:val="00F67422"/>
    <w:rsid w:val="00F7174E"/>
    <w:rsid w:val="00F85D1E"/>
    <w:rsid w:val="00F902AD"/>
    <w:rsid w:val="00FC7743"/>
    <w:rsid w:val="00FE7BF7"/>
    <w:rsid w:val="38C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EC897"/>
  <w15:docId w15:val="{3E359E6B-5F3D-4ACC-A3D9-8B3F883D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0B96"/>
    <w:pPr>
      <w:spacing w:after="0" w:line="240" w:lineRule="auto"/>
    </w:pPr>
    <w:rPr>
      <w:rFonts w:ascii="Arial" w:hAnsi="Arial" w:eastAsia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8A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C7743"/>
  </w:style>
  <w:style w:type="paragraph" w:styleId="Footer">
    <w:name w:val="footer"/>
    <w:basedOn w:val="Normal"/>
    <w:link w:val="Foot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C7743"/>
  </w:style>
  <w:style w:type="paragraph" w:styleId="BalloonText">
    <w:name w:val="Balloon Text"/>
    <w:basedOn w:val="Normal"/>
    <w:link w:val="BalloonTextChar"/>
    <w:uiPriority w:val="99"/>
    <w:semiHidden/>
    <w:unhideWhenUsed/>
    <w:rsid w:val="00FC774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774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84542"/>
    <w:pPr>
      <w:spacing w:after="0" w:line="240" w:lineRule="auto"/>
    </w:pPr>
    <w:rPr>
      <w:rFonts w:eastAsiaTheme="minorEastAsia"/>
      <w:lang w:val="en-US" w:eastAsia="ja-JP"/>
    </w:rPr>
  </w:style>
  <w:style w:type="character" w:styleId="NoSpacingChar" w:customStyle="1">
    <w:name w:val="No Spacing Char"/>
    <w:basedOn w:val="DefaultParagraphFont"/>
    <w:link w:val="NoSpacing"/>
    <w:uiPriority w:val="1"/>
    <w:rsid w:val="00884542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nhideWhenUsed/>
    <w:rsid w:val="006E48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5D1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C6699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5868A6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1508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49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668B"/>
    <w:pPr>
      <w:spacing w:after="0" w:line="240" w:lineRule="auto"/>
    </w:pPr>
    <w:rPr>
      <w:rFonts w:ascii="Arial" w:hAnsi="Arial" w:eastAsia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lars.trinityhouse.co.uk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53F411968A419B6C746728E43A7F" ma:contentTypeVersion="13" ma:contentTypeDescription="Create a new document." ma:contentTypeScope="" ma:versionID="87b852edb119a2350f7c4c849ae68e22">
  <xsd:schema xmlns:xsd="http://www.w3.org/2001/XMLSchema" xmlns:xs="http://www.w3.org/2001/XMLSchema" xmlns:p="http://schemas.microsoft.com/office/2006/metadata/properties" xmlns:ns2="acd3032c-905b-4bb8-92b0-806485e1dfa8" xmlns:ns3="fe28ca77-8b9c-4c6f-bae7-1566e9ee02cc" targetNamespace="http://schemas.microsoft.com/office/2006/metadata/properties" ma:root="true" ma:fieldsID="abadaef78291183033d11e14bd22a926" ns2:_="" ns3:_="">
    <xsd:import namespace="acd3032c-905b-4bb8-92b0-806485e1dfa8"/>
    <xsd:import namespace="fe28ca77-8b9c-4c6f-bae7-1566e9ee02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3032c-905b-4bb8-92b0-806485e1dfa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1d73b1-a7d2-40d0-9522-4d82f023a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ca77-8b9c-4c6f-bae7-1566e9ee02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21e0a2-fc02-4098-bc85-9957ff8016c8}" ma:internalName="TaxCatchAll" ma:showField="CatchAllData" ma:web="fe28ca77-8b9c-4c6f-bae7-1566e9ee0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fe28ca77-8b9c-4c6f-bae7-1566e9ee02cc" xsi:nil="true"/>
    <lcf76f155ced4ddcb4097134ff3c332f xmlns="acd3032c-905b-4bb8-92b0-806485e1df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64CCC-DB2D-4C51-B134-475C3CC37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3032c-905b-4bb8-92b0-806485e1dfa8"/>
    <ds:schemaRef ds:uri="fe28ca77-8b9c-4c6f-bae7-1566e9ee0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A444-A08B-4CC0-8319-8721EB5E3F49}">
  <ds:schemaRefs>
    <ds:schemaRef ds:uri="http://schemas.microsoft.com/office/2006/metadata/properties"/>
    <ds:schemaRef ds:uri="fe28ca77-8b9c-4c6f-bae7-1566e9ee02cc"/>
    <ds:schemaRef ds:uri="acd3032c-905b-4bb8-92b0-806485e1dfa8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A40D4A-F5CE-48A3-863E-BA1C031C1F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B677C5-B84E-4980-A24A-19F2C1F8DE7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Port of Dover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PoDMSC Document Template</dc:title>
  <dc:creator>Steven Masters</dc:creator>
  <lastModifiedBy>North Sunderland Harbour Master</lastModifiedBy>
  <revision>5</revision>
  <lastPrinted>2024-05-29T07:38:00.0000000Z</lastPrinted>
  <dcterms:created xsi:type="dcterms:W3CDTF">2024-05-28T14:03:00.0000000Z</dcterms:created>
  <dcterms:modified xsi:type="dcterms:W3CDTF">2025-10-01T10:29:36.6036536Z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0x010100AE5953F411968A419B6C746728E43A7F</vt:lpwstr>
  </property>
  <property fmtid="{D5CDD505-2E9C-101B-9397-08002B2CF9AE}" pid="3" name="DHB Document Keywords">
    <vt:lpwstr>PoDMSC Document Template</vt:lpwstr>
  </property>
  <property fmtid="{D5CDD505-2E9C-101B-9397-08002B2CF9AE}" pid="4" name="DHB Doc Type">
    <vt:lpwstr>Template</vt:lpwstr>
  </property>
  <property fmtid="{D5CDD505-2E9C-101B-9397-08002B2CF9AE}" pid="5" name="MediaServiceImageTags">
    <vt:lpwstr/>
  </property>
</Properties>
</file>