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B69B3" w:rsidP="007B69B3" w:rsidRDefault="00E91CF3" w14:paraId="2884D28D" w14:textId="3364E94D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noProof/>
          <w:color w:val="0F265C"/>
          <w:sz w:val="56"/>
          <w:szCs w:val="56"/>
          <w:lang w:eastAsia="en-US"/>
        </w:rPr>
        <w:drawing>
          <wp:inline distT="0" distB="0" distL="0" distR="0" wp14:anchorId="56801606" wp14:editId="7EDB053D">
            <wp:extent cx="3383280" cy="3383280"/>
            <wp:effectExtent l="0" t="0" r="7620" b="7620"/>
            <wp:docPr id="230311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69B3" w:rsidP="0024715E" w:rsidRDefault="0024715E" w14:paraId="1E166B2B" w14:textId="11B4DBD3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North Sunderland Harbour </w:t>
      </w:r>
    </w:p>
    <w:p w:rsidRPr="007B69B3" w:rsidR="0024715E" w:rsidP="0024715E" w:rsidRDefault="0024715E" w14:paraId="6265055F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Pr="007B69B3" w:rsidR="007B69B3" w:rsidP="007B69B3" w:rsidRDefault="007B69B3" w14:paraId="5D1A1CF9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Safety Management System </w:t>
      </w:r>
    </w:p>
    <w:p w:rsidRPr="007B69B3" w:rsidR="007B69B3" w:rsidP="007B69B3" w:rsidRDefault="007B69B3" w14:paraId="4DD659D1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="007B69B3" w:rsidP="007B69B3" w:rsidRDefault="007B69B3" w14:paraId="4E75DB68" w14:textId="56BD71A0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Section </w:t>
      </w:r>
      <w:r w:rsidR="00CA193A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6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–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0A0E32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Pilotage </w:t>
      </w:r>
    </w:p>
    <w:p w:rsidR="005F166D" w:rsidRDefault="005F166D" w14:paraId="42E3AB35" w14:textId="77777777">
      <w:pPr>
        <w:spacing w:after="200" w:line="276" w:lineRule="auto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br w:type="page"/>
      </w:r>
    </w:p>
    <w:p w:rsidRPr="00897E72" w:rsidR="000A0E32" w:rsidP="00C876D3" w:rsidRDefault="00F948E7" w14:paraId="7246C376" w14:textId="7B35C961">
      <w:pPr>
        <w:pStyle w:val="Heading1"/>
      </w:pPr>
      <w:r w:rsidRPr="00C876D3">
        <w:lastRenderedPageBreak/>
        <w:t>P</w:t>
      </w:r>
      <w:r w:rsidRPr="00C876D3" w:rsidR="000A0E32">
        <w:t>ilotage</w:t>
      </w:r>
      <w:r w:rsidRPr="00897E72" w:rsidR="000A0E32">
        <w:t>:</w:t>
      </w:r>
    </w:p>
    <w:p w:rsidRPr="00897E72" w:rsidR="000A0E32" w:rsidP="000A0E32" w:rsidRDefault="000A0E32" w14:paraId="1FC58CE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0A0E32" w:rsidP="00C876D3" w:rsidRDefault="000A0E32" w14:paraId="78BAC697" w14:textId="75A587F4">
      <w:pPr>
        <w:pStyle w:val="Heading2"/>
      </w:pPr>
      <w:r w:rsidRPr="00897E72">
        <w:t>Assessing the need:</w:t>
      </w:r>
    </w:p>
    <w:p w:rsidRPr="00803966" w:rsidR="00803966" w:rsidP="00803966" w:rsidRDefault="00803966" w14:paraId="6A5D9A7E" w14:textId="77777777"/>
    <w:p w:rsidR="00623DCB" w:rsidP="00F948E7" w:rsidRDefault="007D5691" w14:paraId="07B874B7" w14:textId="10C0B381">
      <w:pPr>
        <w:ind w:right="-22"/>
        <w:jc w:val="both"/>
        <w:rPr>
          <w:rFonts w:ascii="Arial" w:hAnsi="Arial" w:cs="Arial"/>
          <w:sz w:val="24"/>
          <w:szCs w:val="24"/>
        </w:rPr>
      </w:pPr>
      <w:r w:rsidRPr="007D5691">
        <w:rPr>
          <w:rFonts w:ascii="Arial" w:hAnsi="Arial" w:cs="Arial"/>
          <w:sz w:val="24"/>
          <w:szCs w:val="24"/>
        </w:rPr>
        <w:t xml:space="preserve">The </w:t>
      </w:r>
      <w:r w:rsidR="00623DCB">
        <w:rPr>
          <w:rFonts w:ascii="Arial" w:hAnsi="Arial" w:cs="Arial"/>
          <w:sz w:val="24"/>
          <w:szCs w:val="24"/>
        </w:rPr>
        <w:t xml:space="preserve">Port Marine Safety Code and the Pilotage Act 1988 requires all </w:t>
      </w:r>
      <w:r w:rsidR="006F4D49">
        <w:rPr>
          <w:rFonts w:ascii="Arial" w:hAnsi="Arial" w:cs="Arial"/>
          <w:sz w:val="24"/>
          <w:szCs w:val="24"/>
        </w:rPr>
        <w:t>Harbour</w:t>
      </w:r>
      <w:r w:rsidR="00623DCB">
        <w:rPr>
          <w:rFonts w:ascii="Arial" w:hAnsi="Arial" w:cs="Arial"/>
          <w:sz w:val="24"/>
          <w:szCs w:val="24"/>
        </w:rPr>
        <w:t xml:space="preserve"> Authorities </w:t>
      </w:r>
      <w:r w:rsidR="0064369B">
        <w:rPr>
          <w:rFonts w:ascii="Arial" w:hAnsi="Arial" w:cs="Arial"/>
          <w:sz w:val="24"/>
          <w:szCs w:val="24"/>
        </w:rPr>
        <w:t xml:space="preserve">to </w:t>
      </w:r>
      <w:r w:rsidR="00623DCB">
        <w:rPr>
          <w:rFonts w:ascii="Arial" w:hAnsi="Arial" w:cs="Arial"/>
          <w:sz w:val="24"/>
          <w:szCs w:val="24"/>
        </w:rPr>
        <w:t xml:space="preserve">assess the need for pilotage within their </w:t>
      </w:r>
      <w:r w:rsidR="006F4D49">
        <w:rPr>
          <w:rFonts w:ascii="Arial" w:hAnsi="Arial" w:cs="Arial"/>
          <w:sz w:val="24"/>
          <w:szCs w:val="24"/>
        </w:rPr>
        <w:t>Statutory</w:t>
      </w:r>
      <w:r w:rsidR="00623DCB">
        <w:rPr>
          <w:rFonts w:ascii="Arial" w:hAnsi="Arial" w:cs="Arial"/>
          <w:sz w:val="24"/>
          <w:szCs w:val="24"/>
        </w:rPr>
        <w:t xml:space="preserve"> </w:t>
      </w:r>
      <w:r w:rsidR="006F4D49">
        <w:rPr>
          <w:rFonts w:ascii="Arial" w:hAnsi="Arial" w:cs="Arial"/>
          <w:sz w:val="24"/>
          <w:szCs w:val="24"/>
        </w:rPr>
        <w:t>Harbour</w:t>
      </w:r>
      <w:r w:rsidR="00623DCB">
        <w:rPr>
          <w:rFonts w:ascii="Arial" w:hAnsi="Arial" w:cs="Arial"/>
          <w:sz w:val="24"/>
          <w:szCs w:val="24"/>
        </w:rPr>
        <w:t xml:space="preserve"> Authority area and to </w:t>
      </w:r>
      <w:r w:rsidR="006F4D49">
        <w:rPr>
          <w:rFonts w:ascii="Arial" w:hAnsi="Arial" w:cs="Arial"/>
          <w:sz w:val="24"/>
          <w:szCs w:val="24"/>
        </w:rPr>
        <w:t>periodically</w:t>
      </w:r>
      <w:r w:rsidR="00623DCB">
        <w:rPr>
          <w:rFonts w:ascii="Arial" w:hAnsi="Arial" w:cs="Arial"/>
          <w:sz w:val="24"/>
          <w:szCs w:val="24"/>
        </w:rPr>
        <w:t xml:space="preserve"> review this</w:t>
      </w:r>
      <w:r w:rsidR="0064369B">
        <w:rPr>
          <w:rFonts w:ascii="Arial" w:hAnsi="Arial" w:cs="Arial"/>
          <w:sz w:val="24"/>
          <w:szCs w:val="24"/>
        </w:rPr>
        <w:t xml:space="preserve"> need</w:t>
      </w:r>
      <w:r w:rsidR="00623DCB">
        <w:rPr>
          <w:rFonts w:ascii="Arial" w:hAnsi="Arial" w:cs="Arial"/>
          <w:sz w:val="24"/>
          <w:szCs w:val="24"/>
        </w:rPr>
        <w:t>.</w:t>
      </w:r>
    </w:p>
    <w:p w:rsidR="00623DCB" w:rsidP="00F948E7" w:rsidRDefault="00623DCB" w14:paraId="34381DCF" w14:textId="77777777">
      <w:pPr>
        <w:ind w:right="-22"/>
        <w:jc w:val="both"/>
        <w:rPr>
          <w:rFonts w:ascii="Arial" w:hAnsi="Arial" w:cs="Arial"/>
          <w:sz w:val="24"/>
          <w:szCs w:val="24"/>
        </w:rPr>
      </w:pPr>
    </w:p>
    <w:p w:rsidR="000A0E32" w:rsidP="00F948E7" w:rsidRDefault="00623DCB" w14:paraId="30617ECD" w14:textId="5B25E611">
      <w:pPr>
        <w:ind w:right="-22"/>
        <w:jc w:val="both"/>
        <w:rPr>
          <w:rFonts w:ascii="Arial" w:hAnsi="Arial" w:cs="Arial"/>
          <w:sz w:val="24"/>
          <w:szCs w:val="24"/>
        </w:rPr>
      </w:pPr>
      <w:r w:rsidRPr="7DD14CC2" w:rsidR="00623DCB">
        <w:rPr>
          <w:rFonts w:ascii="Arial" w:hAnsi="Arial" w:cs="Arial"/>
          <w:sz w:val="24"/>
          <w:szCs w:val="24"/>
        </w:rPr>
        <w:t xml:space="preserve">In North Sunderland Harbour (Seahouses), the </w:t>
      </w:r>
      <w:r w:rsidRPr="7DD14CC2" w:rsidR="007D5691">
        <w:rPr>
          <w:rFonts w:ascii="Arial" w:hAnsi="Arial" w:cs="Arial"/>
          <w:sz w:val="24"/>
          <w:szCs w:val="24"/>
        </w:rPr>
        <w:t xml:space="preserve">last </w:t>
      </w:r>
      <w:r w:rsidRPr="7DD14CC2" w:rsidR="007D5691">
        <w:rPr>
          <w:rFonts w:ascii="Arial" w:hAnsi="Arial" w:cs="Arial"/>
          <w:sz w:val="24"/>
          <w:szCs w:val="24"/>
        </w:rPr>
        <w:t xml:space="preserve">pilotage </w:t>
      </w:r>
      <w:r w:rsidRPr="7DD14CC2" w:rsidR="007D5691">
        <w:rPr>
          <w:rFonts w:ascii="Arial" w:hAnsi="Arial" w:cs="Arial"/>
          <w:sz w:val="24"/>
          <w:szCs w:val="24"/>
        </w:rPr>
        <w:t xml:space="preserve">review was conducted on </w:t>
      </w:r>
      <w:r w:rsidRPr="7DD14CC2" w:rsidR="6E5BB8B0">
        <w:rPr>
          <w:rFonts w:ascii="Arial" w:hAnsi="Arial" w:cs="Arial"/>
          <w:sz w:val="24"/>
          <w:szCs w:val="24"/>
        </w:rPr>
        <w:t>25</w:t>
      </w:r>
      <w:r w:rsidRPr="7DD14CC2" w:rsidR="6E5BB8B0">
        <w:rPr>
          <w:rFonts w:ascii="Arial" w:hAnsi="Arial" w:cs="Arial"/>
          <w:sz w:val="24"/>
          <w:szCs w:val="24"/>
          <w:vertAlign w:val="superscript"/>
        </w:rPr>
        <w:t>th</w:t>
      </w:r>
      <w:r w:rsidRPr="7DD14CC2" w:rsidR="6E5BB8B0">
        <w:rPr>
          <w:rFonts w:ascii="Arial" w:hAnsi="Arial" w:cs="Arial"/>
          <w:sz w:val="24"/>
          <w:szCs w:val="24"/>
        </w:rPr>
        <w:t xml:space="preserve"> June</w:t>
      </w:r>
      <w:r w:rsidRPr="7DD14CC2" w:rsidR="007D5691">
        <w:rPr>
          <w:rFonts w:ascii="Arial" w:hAnsi="Arial" w:cs="Arial"/>
          <w:sz w:val="24"/>
          <w:szCs w:val="24"/>
        </w:rPr>
        <w:t xml:space="preserve"> </w:t>
      </w:r>
      <w:r w:rsidRPr="7DD14CC2" w:rsidR="007D5691">
        <w:rPr>
          <w:rFonts w:ascii="Arial" w:hAnsi="Arial" w:cs="Arial"/>
          <w:sz w:val="24"/>
          <w:szCs w:val="24"/>
        </w:rPr>
        <w:t>202</w:t>
      </w:r>
      <w:r w:rsidRPr="7DD14CC2" w:rsidR="313D1D32">
        <w:rPr>
          <w:rFonts w:ascii="Arial" w:hAnsi="Arial" w:cs="Arial"/>
          <w:sz w:val="24"/>
          <w:szCs w:val="24"/>
        </w:rPr>
        <w:t>5</w:t>
      </w:r>
      <w:r w:rsidRPr="7DD14CC2" w:rsidR="007D5691">
        <w:rPr>
          <w:rFonts w:ascii="Arial" w:hAnsi="Arial" w:cs="Arial"/>
          <w:sz w:val="24"/>
          <w:szCs w:val="24"/>
        </w:rPr>
        <w:t xml:space="preserve"> and the </w:t>
      </w:r>
      <w:r w:rsidRPr="7DD14CC2" w:rsidR="00623DCB">
        <w:rPr>
          <w:rFonts w:ascii="Arial" w:hAnsi="Arial" w:cs="Arial"/>
          <w:sz w:val="24"/>
          <w:szCs w:val="24"/>
        </w:rPr>
        <w:t xml:space="preserve">North Sunderland </w:t>
      </w:r>
      <w:r w:rsidRPr="7DD14CC2" w:rsidR="006F4D49">
        <w:rPr>
          <w:rFonts w:ascii="Arial" w:hAnsi="Arial" w:cs="Arial"/>
          <w:sz w:val="24"/>
          <w:szCs w:val="24"/>
        </w:rPr>
        <w:t>Harbour</w:t>
      </w:r>
      <w:r w:rsidRPr="7DD14CC2" w:rsidR="00623DCB">
        <w:rPr>
          <w:rFonts w:ascii="Arial" w:hAnsi="Arial" w:cs="Arial"/>
          <w:sz w:val="24"/>
          <w:szCs w:val="24"/>
        </w:rPr>
        <w:t xml:space="preserve"> Commissioner</w:t>
      </w:r>
      <w:r w:rsidRPr="7DD14CC2" w:rsidR="0064369B">
        <w:rPr>
          <w:rFonts w:ascii="Arial" w:hAnsi="Arial" w:cs="Arial"/>
          <w:sz w:val="24"/>
          <w:szCs w:val="24"/>
        </w:rPr>
        <w:t>s</w:t>
      </w:r>
      <w:r w:rsidRPr="7DD14CC2" w:rsidR="00623DCB">
        <w:rPr>
          <w:rFonts w:ascii="Arial" w:hAnsi="Arial" w:cs="Arial"/>
          <w:sz w:val="24"/>
          <w:szCs w:val="24"/>
        </w:rPr>
        <w:t xml:space="preserve"> a</w:t>
      </w:r>
      <w:r w:rsidRPr="7DD14CC2" w:rsidR="00F948E7">
        <w:rPr>
          <w:rFonts w:ascii="Arial" w:hAnsi="Arial" w:cs="Arial"/>
          <w:sz w:val="24"/>
          <w:szCs w:val="24"/>
        </w:rPr>
        <w:t xml:space="preserve">fter </w:t>
      </w:r>
      <w:r w:rsidRPr="7DD14CC2" w:rsidR="000A0E32">
        <w:rPr>
          <w:rFonts w:ascii="Arial" w:hAnsi="Arial" w:cs="Arial"/>
          <w:sz w:val="24"/>
          <w:szCs w:val="24"/>
        </w:rPr>
        <w:t xml:space="preserve">consultation, hazard identification and formal risk assessment </w:t>
      </w:r>
      <w:r w:rsidRPr="7DD14CC2" w:rsidR="00623DCB">
        <w:rPr>
          <w:rFonts w:ascii="Arial" w:hAnsi="Arial" w:cs="Arial"/>
          <w:sz w:val="24"/>
          <w:szCs w:val="24"/>
        </w:rPr>
        <w:t xml:space="preserve">concluded that the provision of a pilotage service is not </w:t>
      </w:r>
      <w:r w:rsidRPr="7DD14CC2" w:rsidR="00623DCB">
        <w:rPr>
          <w:rFonts w:ascii="Arial" w:hAnsi="Arial" w:cs="Arial"/>
          <w:sz w:val="24"/>
          <w:szCs w:val="24"/>
        </w:rPr>
        <w:t>required</w:t>
      </w:r>
      <w:r w:rsidRPr="7DD14CC2" w:rsidR="00623DCB">
        <w:rPr>
          <w:rFonts w:ascii="Arial" w:hAnsi="Arial" w:cs="Arial"/>
          <w:sz w:val="24"/>
          <w:szCs w:val="24"/>
        </w:rPr>
        <w:t xml:space="preserve"> for </w:t>
      </w:r>
      <w:r w:rsidRPr="7DD14CC2" w:rsidR="0064369B">
        <w:rPr>
          <w:rFonts w:ascii="Arial" w:hAnsi="Arial" w:cs="Arial"/>
          <w:sz w:val="24"/>
          <w:szCs w:val="24"/>
        </w:rPr>
        <w:t xml:space="preserve">North Sunderland </w:t>
      </w:r>
      <w:r w:rsidRPr="7DD14CC2" w:rsidR="006F4D49">
        <w:rPr>
          <w:rFonts w:ascii="Arial" w:hAnsi="Arial" w:cs="Arial"/>
          <w:sz w:val="24"/>
          <w:szCs w:val="24"/>
        </w:rPr>
        <w:t>Harbour</w:t>
      </w:r>
      <w:r w:rsidRPr="7DD14CC2" w:rsidR="000A0E32">
        <w:rPr>
          <w:rFonts w:ascii="Arial" w:hAnsi="Arial" w:cs="Arial"/>
          <w:sz w:val="24"/>
          <w:szCs w:val="24"/>
        </w:rPr>
        <w:t>.</w:t>
      </w:r>
    </w:p>
    <w:p w:rsidR="007D5691" w:rsidP="00F948E7" w:rsidRDefault="007D5691" w14:paraId="32847214" w14:textId="1E193279">
      <w:pPr>
        <w:ind w:right="-22"/>
        <w:jc w:val="both"/>
        <w:rPr>
          <w:rFonts w:ascii="Arial" w:hAnsi="Arial" w:cs="Arial"/>
          <w:sz w:val="24"/>
          <w:szCs w:val="24"/>
        </w:rPr>
      </w:pPr>
    </w:p>
    <w:p w:rsidRPr="00897E72" w:rsidR="000A0E32" w:rsidP="00F948E7" w:rsidRDefault="000A0E32" w14:paraId="274A405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67" w:right="-22"/>
        <w:jc w:val="both"/>
        <w:rPr>
          <w:rFonts w:ascii="Arial" w:hAnsi="Arial" w:cs="Arial"/>
          <w:sz w:val="24"/>
          <w:szCs w:val="24"/>
        </w:rPr>
      </w:pPr>
    </w:p>
    <w:p w:rsidRPr="00897E72" w:rsidR="000A0E32" w:rsidP="00F948E7" w:rsidRDefault="000A0E32" w14:paraId="4E008F6E" w14:textId="77777777">
      <w:pPr>
        <w:ind w:left="567" w:right="-22"/>
        <w:jc w:val="both"/>
        <w:rPr>
          <w:rFonts w:ascii="Arial" w:hAnsi="Arial" w:cs="Arial"/>
          <w:sz w:val="24"/>
          <w:szCs w:val="24"/>
        </w:rPr>
      </w:pPr>
    </w:p>
    <w:p w:rsidRPr="00897E72" w:rsidR="00F948E7" w:rsidP="000A0E32" w:rsidRDefault="00F948E7" w14:paraId="0D9D24A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567"/>
        <w:jc w:val="both"/>
        <w:rPr>
          <w:rFonts w:ascii="Arial" w:hAnsi="Arial" w:cs="Arial"/>
          <w:b/>
          <w:sz w:val="24"/>
          <w:szCs w:val="24"/>
        </w:rPr>
      </w:pPr>
    </w:p>
    <w:p w:rsidRPr="00897E72" w:rsidR="000A0E32" w:rsidP="000A0E32" w:rsidRDefault="000A0E32" w14:paraId="6B19ADE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Pr="00897E72" w:rsidR="000A0E32" w:rsidP="000A0E32" w:rsidRDefault="000A0E32" w14:paraId="08A3D581" w14:textId="77777777">
      <w:pPr>
        <w:jc w:val="both"/>
        <w:rPr>
          <w:rFonts w:ascii="Arial" w:hAnsi="Arial" w:cs="Arial"/>
          <w:sz w:val="24"/>
          <w:szCs w:val="24"/>
        </w:rPr>
      </w:pPr>
    </w:p>
    <w:p w:rsidRPr="00897E72" w:rsidR="00440659" w:rsidP="000A0E32" w:rsidRDefault="00440659" w14:paraId="3A423EE2" w14:textId="77777777">
      <w:pPr>
        <w:tabs>
          <w:tab w:val="left" w:pos="851"/>
          <w:tab w:val="left" w:pos="1418"/>
          <w:tab w:val="left" w:pos="1985"/>
        </w:tabs>
        <w:spacing w:after="240"/>
        <w:jc w:val="both"/>
        <w:rPr>
          <w:rFonts w:ascii="Arial" w:hAnsi="Arial" w:cs="Arial"/>
          <w:sz w:val="24"/>
          <w:szCs w:val="24"/>
        </w:rPr>
      </w:pPr>
    </w:p>
    <w:p w:rsidRPr="00897E72" w:rsidR="000A0E32" w:rsidP="000A0E32" w:rsidRDefault="000A0E32" w14:paraId="6B8E1A7C" w14:textId="77777777">
      <w:pPr>
        <w:ind w:left="567" w:right="96"/>
        <w:jc w:val="both"/>
        <w:rPr>
          <w:rFonts w:ascii="Arial" w:hAnsi="Arial" w:cs="Arial"/>
          <w:sz w:val="24"/>
          <w:szCs w:val="24"/>
        </w:rPr>
      </w:pPr>
    </w:p>
    <w:p w:rsidRPr="00897E72" w:rsidR="000A0E32" w:rsidP="000A0E32" w:rsidRDefault="000A0E32" w14:paraId="6F9CDA5A" w14:textId="77777777">
      <w:pPr>
        <w:ind w:right="96" w:hanging="567"/>
        <w:jc w:val="both"/>
        <w:rPr>
          <w:rFonts w:ascii="Arial" w:hAnsi="Arial" w:cs="Arial"/>
          <w:b/>
          <w:sz w:val="24"/>
          <w:szCs w:val="24"/>
        </w:rPr>
      </w:pPr>
    </w:p>
    <w:sectPr w:rsidRPr="00897E72" w:rsidR="000A0E32" w:rsidSect="000B7BEB">
      <w:headerReference w:type="default" r:id="rId12"/>
      <w:footerReference w:type="default" r:id="rId13"/>
      <w:pgSz w:w="11906" w:h="16838" w:orient="portrait"/>
      <w:pgMar w:top="1631" w:right="1274" w:bottom="993" w:left="1701" w:header="570" w:footer="633" w:gutter="0"/>
      <w:pgBorders w:offsetFrom="page">
        <w:top w:val="single" w:color="548DD4" w:themeColor="text2" w:themeTint="99" w:sz="24" w:space="24"/>
        <w:left w:val="single" w:color="548DD4" w:themeColor="text2" w:themeTint="99" w:sz="24" w:space="24"/>
        <w:bottom w:val="single" w:color="548DD4" w:themeColor="text2" w:themeTint="99" w:sz="24" w:space="24"/>
        <w:right w:val="single" w:color="548DD4" w:themeColor="text2" w:themeTint="99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286D" w:rsidP="00FC7743" w:rsidRDefault="00D4286D" w14:paraId="1592AECA" w14:textId="77777777">
      <w:r>
        <w:separator/>
      </w:r>
    </w:p>
  </w:endnote>
  <w:endnote w:type="continuationSeparator" w:id="0">
    <w:p w:rsidR="00D4286D" w:rsidP="00FC7743" w:rsidRDefault="00D4286D" w14:paraId="6A485C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Content>
      <w:sdt>
        <w:sdtPr>
          <w:id w:val="918908325"/>
          <w:docPartObj>
            <w:docPartGallery w:val="Page Numbers (Top of Page)"/>
            <w:docPartUnique/>
          </w:docPartObj>
        </w:sdtPr>
        <w:sdtContent>
          <w:p w:rsidR="00F85D1E" w:rsidP="007D5691" w:rsidRDefault="00F85D1E" w14:paraId="6EFF6D32" w14:textId="5AE3EB67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Bodoni MT Black" w:hAnsi="Bodoni MT Black"/>
                <w:noProof/>
                <w:color w:val="00206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1EC8D1" wp14:editId="23A75D5A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-40640</wp:posOffset>
                      </wp:positionV>
                      <wp:extent cx="654367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36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2060" strokeweight="1.5pt" from="-41.55pt,-3.2pt" to="473.7pt,-3.2pt" w14:anchorId="40C648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"/>
                  </w:pict>
                </mc:Fallback>
              </mc:AlternateContent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Page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Pr="002A3688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Pr="002A3688">
              <w:rPr>
                <w:rFonts w:ascii="Arial Rounded MT Bold" w:hAnsi="Arial Rounded MT Bold" w:cs="Tahoma"/>
                <w:bCs/>
                <w:color w:val="002060"/>
              </w:rPr>
              <w:t xml:space="preserve">              </w:t>
            </w:r>
            <w:r w:rsidR="007D5691">
              <w:rPr>
                <w:rFonts w:ascii="Arial Rounded MT Bold" w:hAnsi="Arial Rounded MT Bold" w:cs="Tahoma"/>
                <w:bCs/>
                <w:color w:val="002060"/>
              </w:rPr>
              <w:tab/>
            </w:r>
            <w:r w:rsidR="0024715E">
              <w:rPr>
                <w:rFonts w:ascii="Arial Rounded MT Bold" w:hAnsi="Arial Rounded MT Bold" w:cs="Tahoma"/>
                <w:bCs/>
                <w:color w:val="002060"/>
              </w:rPr>
              <w:t xml:space="preserve">North Sunderland Harbour </w:t>
            </w:r>
            <w:r w:rsidR="007D5691">
              <w:rPr>
                <w:rFonts w:ascii="Arial Rounded MT Bold" w:hAnsi="Arial Rounded MT Bold" w:cs="Tahoma"/>
                <w:bCs/>
                <w:color w:val="002060"/>
              </w:rPr>
              <w:t xml:space="preserve">SMS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CA193A">
              <w:rPr>
                <w:rFonts w:ascii="Arial Rounded MT Bold" w:hAnsi="Arial Rounded MT Bold" w:cs="Tahoma"/>
                <w:bCs/>
                <w:color w:val="002060"/>
              </w:rPr>
              <w:t>6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7D5691">
              <w:rPr>
                <w:rFonts w:ascii="Arial Rounded MT Bold" w:hAnsi="Arial Rounded MT Bold" w:cs="Tahoma"/>
                <w:bCs/>
                <w:color w:val="002060"/>
              </w:rPr>
              <w:t xml:space="preserve">Version </w:t>
            </w:r>
            <w:r w:rsidR="00A24644">
              <w:rPr>
                <w:rFonts w:ascii="Arial Rounded MT Bold" w:hAnsi="Arial Rounded MT Bold" w:cs="Tahoma"/>
                <w:bCs/>
                <w:color w:val="002060"/>
              </w:rPr>
              <w:t>0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1</w:t>
            </w:r>
          </w:p>
          <w:p w:rsidR="007D5691" w:rsidP="007D5691" w:rsidRDefault="007D5691" w14:paraId="1DA937AC" w14:textId="458E3746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</w:p>
          <w:p w:rsidR="007D5691" w:rsidP="7DD14CC2" w:rsidRDefault="007D5691" w14:paraId="7BEB447B" w14:textId="665C95F0">
            <w:pPr>
              <w:pStyle w:val="Footer"/>
              <w:ind w:right="-589"/>
              <w:rPr>
                <w:rFonts w:ascii="Arial Rounded MT Bold" w:hAnsi="Arial Rounded MT Bold" w:cs="Tahoma"/>
                <w:color w:val="002060"/>
              </w:rPr>
            </w:pPr>
            <w:r w:rsidRPr="7DD14CC2" w:rsidR="7DD14CC2">
              <w:rPr>
                <w:rFonts w:ascii="Arial Rounded MT Bold" w:hAnsi="Arial Rounded MT Bold" w:cs="Tahoma"/>
                <w:color w:val="002060"/>
              </w:rPr>
              <w:t xml:space="preserve">Dated </w:t>
            </w:r>
            <w:r w:rsidRPr="7DD14CC2" w:rsidR="7DD14CC2">
              <w:rPr>
                <w:rFonts w:ascii="Arial Rounded MT Bold" w:hAnsi="Arial Rounded MT Bold" w:cs="Tahoma"/>
                <w:color w:val="002060"/>
              </w:rPr>
              <w:t xml:space="preserve">25th </w:t>
            </w:r>
            <w:r w:rsidRPr="7DD14CC2" w:rsidR="7DD14CC2">
              <w:rPr>
                <w:rFonts w:ascii="Arial Rounded MT Bold" w:hAnsi="Arial Rounded MT Bold" w:cs="Tahoma"/>
                <w:color w:val="002060"/>
              </w:rPr>
              <w:t>J</w:t>
            </w:r>
            <w:r w:rsidRPr="7DD14CC2" w:rsidR="7DD14CC2">
              <w:rPr>
                <w:rFonts w:ascii="Arial Rounded MT Bold" w:hAnsi="Arial Rounded MT Bold" w:cs="Tahoma"/>
                <w:color w:val="002060"/>
              </w:rPr>
              <w:t xml:space="preserve">une </w:t>
            </w:r>
            <w:r w:rsidRPr="7DD14CC2" w:rsidR="7DD14CC2">
              <w:rPr>
                <w:rFonts w:ascii="Arial Rounded MT Bold" w:hAnsi="Arial Rounded MT Bold" w:cs="Tahoma"/>
                <w:color w:val="002060"/>
              </w:rPr>
              <w:t>202</w:t>
            </w:r>
            <w:r w:rsidRPr="7DD14CC2" w:rsidR="7DD14CC2">
              <w:rPr>
                <w:rFonts w:ascii="Arial Rounded MT Bold" w:hAnsi="Arial Rounded MT Bold" w:cs="Tahoma"/>
                <w:color w:val="002060"/>
              </w:rPr>
              <w:t>5</w:t>
            </w:r>
          </w:p>
          <w:p w:rsidRPr="002A3688" w:rsidR="00F85D1E" w:rsidP="00884542" w:rsidRDefault="00F85D1E" w14:paraId="381EC8C9" w14:textId="7C9D4471">
            <w:pPr>
              <w:pStyle w:val="Footer"/>
              <w:ind w:right="-589"/>
              <w:jc w:val="center"/>
            </w:pP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                                                                                    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 xml:space="preserve">       </w:t>
            </w:r>
          </w:p>
        </w:sdtContent>
      </w:sdt>
    </w:sdtContent>
  </w:sdt>
  <w:p w:rsidRPr="002A3688" w:rsidR="00F85D1E" w:rsidRDefault="00F85D1E" w14:paraId="381EC8C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286D" w:rsidP="00FC7743" w:rsidRDefault="00D4286D" w14:paraId="1500D02F" w14:textId="77777777">
      <w:r>
        <w:separator/>
      </w:r>
    </w:p>
  </w:footnote>
  <w:footnote w:type="continuationSeparator" w:id="0">
    <w:p w:rsidR="00D4286D" w:rsidP="00FC7743" w:rsidRDefault="00D4286D" w14:paraId="26D7C75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C0DC7" w:rsidR="00F85D1E" w:rsidP="003C0DC7" w:rsidRDefault="00F85D1E" w14:paraId="381EC8C4" w14:textId="2AAC2344">
    <w:pPr>
      <w:pStyle w:val="Header"/>
      <w:rPr>
        <w:rFonts w:ascii="Bodoni MT Black" w:hAnsi="Bodoni MT Black"/>
        <w:color w:val="002060"/>
        <w:sz w:val="14"/>
      </w:rPr>
    </w:pPr>
  </w:p>
  <w:p w:rsidRPr="002A3688" w:rsidR="00F85D1E" w:rsidP="00E1711D" w:rsidRDefault="00F85D1E" w14:paraId="381EC8C7" w14:textId="28D1B88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:rsidRPr="00FC7743" w:rsidR="00F85D1E" w:rsidP="00FC7743" w:rsidRDefault="00F85D1E" w14:paraId="381EC8C8" w14:textId="10A1D2B1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6DB8"/>
    <w:multiLevelType w:val="hybridMultilevel"/>
    <w:tmpl w:val="6404764C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6B2D01"/>
    <w:multiLevelType w:val="multilevel"/>
    <w:tmpl w:val="3D44D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C75426"/>
    <w:multiLevelType w:val="hybridMultilevel"/>
    <w:tmpl w:val="E6CA5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3388"/>
    <w:multiLevelType w:val="hybridMultilevel"/>
    <w:tmpl w:val="5F0CA7D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98160E2"/>
    <w:multiLevelType w:val="hybridMultilevel"/>
    <w:tmpl w:val="0E3210C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9D7476C"/>
    <w:multiLevelType w:val="multilevel"/>
    <w:tmpl w:val="3D44D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5CC961FE"/>
    <w:multiLevelType w:val="hybridMultilevel"/>
    <w:tmpl w:val="9D5E8CAE"/>
    <w:lvl w:ilvl="0" w:tplc="6296AD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35A49ED"/>
    <w:multiLevelType w:val="hybridMultilevel"/>
    <w:tmpl w:val="6A7EC3B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6F125090"/>
    <w:multiLevelType w:val="multilevel"/>
    <w:tmpl w:val="3D44D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7B540E10"/>
    <w:multiLevelType w:val="hybridMultilevel"/>
    <w:tmpl w:val="20A851E2"/>
    <w:lvl w:ilvl="0" w:tplc="08090003">
      <w:start w:val="1"/>
      <w:numFmt w:val="bullet"/>
      <w:lvlText w:val="o"/>
      <w:lvlJc w:val="left"/>
      <w:pPr>
        <w:ind w:left="294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15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3267187">
    <w:abstractNumId w:val="2"/>
  </w:num>
  <w:num w:numId="2" w16cid:durableId="762409165">
    <w:abstractNumId w:val="4"/>
  </w:num>
  <w:num w:numId="3" w16cid:durableId="1798527483">
    <w:abstractNumId w:val="15"/>
  </w:num>
  <w:num w:numId="4" w16cid:durableId="1134517242">
    <w:abstractNumId w:val="1"/>
  </w:num>
  <w:num w:numId="5" w16cid:durableId="1152017063">
    <w:abstractNumId w:val="6"/>
  </w:num>
  <w:num w:numId="6" w16cid:durableId="1063066406">
    <w:abstractNumId w:val="8"/>
  </w:num>
  <w:num w:numId="7" w16cid:durableId="874972251">
    <w:abstractNumId w:val="5"/>
  </w:num>
  <w:num w:numId="8" w16cid:durableId="1884173043">
    <w:abstractNumId w:val="11"/>
  </w:num>
  <w:num w:numId="9" w16cid:durableId="1240823933">
    <w:abstractNumId w:val="13"/>
  </w:num>
  <w:num w:numId="10" w16cid:durableId="1957592425">
    <w:abstractNumId w:val="14"/>
  </w:num>
  <w:num w:numId="11" w16cid:durableId="1904558550">
    <w:abstractNumId w:val="0"/>
  </w:num>
  <w:num w:numId="12" w16cid:durableId="610471983">
    <w:abstractNumId w:val="12"/>
  </w:num>
  <w:num w:numId="13" w16cid:durableId="1625622675">
    <w:abstractNumId w:val="7"/>
  </w:num>
  <w:num w:numId="14" w16cid:durableId="1788966925">
    <w:abstractNumId w:val="9"/>
  </w:num>
  <w:num w:numId="15" w16cid:durableId="1270511124">
    <w:abstractNumId w:val="10"/>
  </w:num>
  <w:num w:numId="16" w16cid:durableId="57967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57922"/>
    <w:rsid w:val="00093E02"/>
    <w:rsid w:val="000A0E32"/>
    <w:rsid w:val="000B39FD"/>
    <w:rsid w:val="000B7BEB"/>
    <w:rsid w:val="000E05CE"/>
    <w:rsid w:val="00111688"/>
    <w:rsid w:val="00117860"/>
    <w:rsid w:val="00127F56"/>
    <w:rsid w:val="001923E3"/>
    <w:rsid w:val="00194DAA"/>
    <w:rsid w:val="001B6205"/>
    <w:rsid w:val="001D2760"/>
    <w:rsid w:val="00216DFD"/>
    <w:rsid w:val="0024715E"/>
    <w:rsid w:val="00266FBA"/>
    <w:rsid w:val="002828DB"/>
    <w:rsid w:val="00287997"/>
    <w:rsid w:val="002A3688"/>
    <w:rsid w:val="002B7422"/>
    <w:rsid w:val="002F5050"/>
    <w:rsid w:val="003134E2"/>
    <w:rsid w:val="003407E4"/>
    <w:rsid w:val="003C0DC7"/>
    <w:rsid w:val="003C7E43"/>
    <w:rsid w:val="0043361C"/>
    <w:rsid w:val="00440659"/>
    <w:rsid w:val="004C5F29"/>
    <w:rsid w:val="004E00C7"/>
    <w:rsid w:val="004E6506"/>
    <w:rsid w:val="005920F7"/>
    <w:rsid w:val="00592193"/>
    <w:rsid w:val="0059532F"/>
    <w:rsid w:val="005D3E61"/>
    <w:rsid w:val="005F166D"/>
    <w:rsid w:val="00623DCB"/>
    <w:rsid w:val="006352AA"/>
    <w:rsid w:val="0064369B"/>
    <w:rsid w:val="00654F38"/>
    <w:rsid w:val="00677520"/>
    <w:rsid w:val="006970FA"/>
    <w:rsid w:val="006B20DD"/>
    <w:rsid w:val="006B7721"/>
    <w:rsid w:val="006C28FF"/>
    <w:rsid w:val="006D7A6F"/>
    <w:rsid w:val="006E0B48"/>
    <w:rsid w:val="006E4879"/>
    <w:rsid w:val="006F4D49"/>
    <w:rsid w:val="007215AB"/>
    <w:rsid w:val="007A22BD"/>
    <w:rsid w:val="007A749B"/>
    <w:rsid w:val="007B69B3"/>
    <w:rsid w:val="007C3214"/>
    <w:rsid w:val="007D01FB"/>
    <w:rsid w:val="007D5691"/>
    <w:rsid w:val="007D6CBC"/>
    <w:rsid w:val="007D78DA"/>
    <w:rsid w:val="007F68DB"/>
    <w:rsid w:val="00803966"/>
    <w:rsid w:val="00884542"/>
    <w:rsid w:val="00897E72"/>
    <w:rsid w:val="008A50AD"/>
    <w:rsid w:val="009347FA"/>
    <w:rsid w:val="0094594D"/>
    <w:rsid w:val="009521F0"/>
    <w:rsid w:val="00953524"/>
    <w:rsid w:val="009A27D7"/>
    <w:rsid w:val="009B38F6"/>
    <w:rsid w:val="00A176D0"/>
    <w:rsid w:val="00A23789"/>
    <w:rsid w:val="00A24644"/>
    <w:rsid w:val="00A92678"/>
    <w:rsid w:val="00AB1F07"/>
    <w:rsid w:val="00AC2A1B"/>
    <w:rsid w:val="00AC6699"/>
    <w:rsid w:val="00B16CCF"/>
    <w:rsid w:val="00B20279"/>
    <w:rsid w:val="00B355EA"/>
    <w:rsid w:val="00B50804"/>
    <w:rsid w:val="00B756AB"/>
    <w:rsid w:val="00B92741"/>
    <w:rsid w:val="00BA06FC"/>
    <w:rsid w:val="00BE43F8"/>
    <w:rsid w:val="00BF730B"/>
    <w:rsid w:val="00C33210"/>
    <w:rsid w:val="00C43BDC"/>
    <w:rsid w:val="00C574E6"/>
    <w:rsid w:val="00C87193"/>
    <w:rsid w:val="00C876D3"/>
    <w:rsid w:val="00C965F0"/>
    <w:rsid w:val="00CA193A"/>
    <w:rsid w:val="00CD3D8C"/>
    <w:rsid w:val="00CE7A2D"/>
    <w:rsid w:val="00D05DC5"/>
    <w:rsid w:val="00D070FC"/>
    <w:rsid w:val="00D13878"/>
    <w:rsid w:val="00D4286D"/>
    <w:rsid w:val="00D9233E"/>
    <w:rsid w:val="00DF50D9"/>
    <w:rsid w:val="00DF79D5"/>
    <w:rsid w:val="00E1711D"/>
    <w:rsid w:val="00E457F5"/>
    <w:rsid w:val="00E65B94"/>
    <w:rsid w:val="00E82C4E"/>
    <w:rsid w:val="00E91CF3"/>
    <w:rsid w:val="00EB1E30"/>
    <w:rsid w:val="00F0397C"/>
    <w:rsid w:val="00F063B8"/>
    <w:rsid w:val="00F21282"/>
    <w:rsid w:val="00F4646D"/>
    <w:rsid w:val="00F52624"/>
    <w:rsid w:val="00F54C1E"/>
    <w:rsid w:val="00F67422"/>
    <w:rsid w:val="00F7174E"/>
    <w:rsid w:val="00F85D1E"/>
    <w:rsid w:val="00F902AD"/>
    <w:rsid w:val="00F948E7"/>
    <w:rsid w:val="00FC7743"/>
    <w:rsid w:val="00FE7BF7"/>
    <w:rsid w:val="0CA7E422"/>
    <w:rsid w:val="313D1D32"/>
    <w:rsid w:val="6E5BB8B0"/>
    <w:rsid w:val="7CF65BE2"/>
    <w:rsid w:val="7DD1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07F1D302-99E4-4E78-A08B-D6B82241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77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96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96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803966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803966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145A3C-0024-46AE-8C94-84772354C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ADF35-2629-4668-A475-A234D6B82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Port of Dover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PoDMSC Document Template</dc:title>
  <dc:creator>Steven Masters</dc:creator>
  <lastModifiedBy>North Sunderland Harbour Master</lastModifiedBy>
  <revision>4</revision>
  <lastPrinted>2024-05-29T07:40:00.0000000Z</lastPrinted>
  <dcterms:created xsi:type="dcterms:W3CDTF">2024-05-28T14:18:00.0000000Z</dcterms:created>
  <dcterms:modified xsi:type="dcterms:W3CDTF">2025-06-25T12:52:19.7634123Z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